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1" w:rsidRPr="001C0BBA" w:rsidRDefault="00280D9A" w:rsidP="009905C1">
      <w:pPr>
        <w:spacing w:line="480" w:lineRule="auto"/>
        <w:jc w:val="center"/>
        <w:rPr>
          <w:b/>
          <w:color w:val="262626" w:themeColor="text1" w:themeTint="D9"/>
        </w:rPr>
      </w:pPr>
      <w:r w:rsidRPr="00280D9A">
        <w:rPr>
          <w:noProof/>
          <w:color w:val="262626" w:themeColor="text1" w:themeTint="D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pt;margin-top:-90.05pt;width:48.75pt;height:54.75pt;z-index:251660288" stroked="f">
            <v:textbox>
              <w:txbxContent>
                <w:p w:rsidR="009905C1" w:rsidRDefault="009905C1" w:rsidP="009905C1"/>
              </w:txbxContent>
            </v:textbox>
          </v:shape>
        </w:pict>
      </w:r>
      <w:r w:rsidR="009905C1" w:rsidRPr="001C0BBA">
        <w:rPr>
          <w:b/>
          <w:color w:val="262626" w:themeColor="text1" w:themeTint="D9"/>
        </w:rPr>
        <w:t>BAB V</w:t>
      </w:r>
    </w:p>
    <w:p w:rsidR="009905C1" w:rsidRDefault="009905C1" w:rsidP="009905C1">
      <w:pPr>
        <w:spacing w:line="480" w:lineRule="auto"/>
        <w:jc w:val="center"/>
        <w:rPr>
          <w:b/>
          <w:color w:val="262626" w:themeColor="text1" w:themeTint="D9"/>
          <w:lang w:val="id-ID"/>
        </w:rPr>
      </w:pPr>
      <w:r w:rsidRPr="001C0BBA">
        <w:rPr>
          <w:b/>
          <w:color w:val="262626" w:themeColor="text1" w:themeTint="D9"/>
        </w:rPr>
        <w:t>PENUTUP</w:t>
      </w:r>
    </w:p>
    <w:p w:rsidR="003602F6" w:rsidRPr="003602F6" w:rsidRDefault="00A5556B" w:rsidP="00A5556B">
      <w:pPr>
        <w:tabs>
          <w:tab w:val="left" w:pos="5070"/>
        </w:tabs>
        <w:rPr>
          <w:b/>
          <w:color w:val="262626" w:themeColor="text1" w:themeTint="D9"/>
          <w:lang w:val="id-ID"/>
        </w:rPr>
      </w:pPr>
      <w:r>
        <w:rPr>
          <w:b/>
          <w:color w:val="262626" w:themeColor="text1" w:themeTint="D9"/>
          <w:lang w:val="id-ID"/>
        </w:rPr>
        <w:tab/>
      </w:r>
    </w:p>
    <w:p w:rsidR="009905C1" w:rsidRPr="001C0BBA" w:rsidRDefault="009905C1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262626" w:themeColor="text1" w:themeTint="D9"/>
        </w:rPr>
      </w:pPr>
      <w:r w:rsidRPr="001C0BBA">
        <w:rPr>
          <w:b/>
          <w:color w:val="262626" w:themeColor="text1" w:themeTint="D9"/>
        </w:rPr>
        <w:t>Kesimpulan</w:t>
      </w:r>
      <w:r w:rsidR="002C19B2">
        <w:rPr>
          <w:b/>
          <w:color w:val="262626" w:themeColor="text1" w:themeTint="D9"/>
        </w:rPr>
        <w:t>.</w:t>
      </w:r>
    </w:p>
    <w:p w:rsidR="004B592E" w:rsidRDefault="009905C1" w:rsidP="004B592E">
      <w:pPr>
        <w:spacing w:line="480" w:lineRule="auto"/>
        <w:ind w:firstLine="709"/>
        <w:jc w:val="both"/>
        <w:rPr>
          <w:color w:val="262626" w:themeColor="text1" w:themeTint="D9"/>
        </w:rPr>
      </w:pPr>
      <w:r w:rsidRPr="001C0BBA">
        <w:rPr>
          <w:color w:val="262626" w:themeColor="text1" w:themeTint="D9"/>
        </w:rPr>
        <w:t xml:space="preserve">Berdasarkan uraian </w:t>
      </w:r>
      <w:r w:rsidR="00F247F0">
        <w:rPr>
          <w:color w:val="262626" w:themeColor="text1" w:themeTint="D9"/>
          <w:lang w:val="id-ID"/>
        </w:rPr>
        <w:t>pada bab sebelumnya</w:t>
      </w:r>
      <w:r w:rsidRPr="001C0BBA">
        <w:rPr>
          <w:color w:val="262626" w:themeColor="text1" w:themeTint="D9"/>
        </w:rPr>
        <w:t xml:space="preserve">, </w:t>
      </w:r>
      <w:r w:rsidR="008E41A1">
        <w:rPr>
          <w:color w:val="262626" w:themeColor="text1" w:themeTint="D9"/>
        </w:rPr>
        <w:t>peneliti</w:t>
      </w:r>
      <w:r w:rsidRPr="001C0BBA">
        <w:rPr>
          <w:color w:val="262626" w:themeColor="text1" w:themeTint="D9"/>
        </w:rPr>
        <w:t xml:space="preserve"> dapat mengambil kesimpulan sebagai </w:t>
      </w:r>
      <w:r w:rsidR="00A818B8">
        <w:rPr>
          <w:color w:val="262626" w:themeColor="text1" w:themeTint="D9"/>
          <w:lang w:val="id-ID"/>
        </w:rPr>
        <w:t xml:space="preserve">jawaban rumusan permasalahan sebagai </w:t>
      </w:r>
      <w:r w:rsidRPr="001C0BBA">
        <w:rPr>
          <w:color w:val="262626" w:themeColor="text1" w:themeTint="D9"/>
        </w:rPr>
        <w:t>berikut:</w:t>
      </w:r>
    </w:p>
    <w:p w:rsidR="004B592E" w:rsidRPr="00513523" w:rsidRDefault="004B592E" w:rsidP="004B592E">
      <w:pPr>
        <w:pStyle w:val="ListParagraph"/>
        <w:numPr>
          <w:ilvl w:val="0"/>
          <w:numId w:val="6"/>
        </w:numPr>
        <w:spacing w:after="200" w:line="480" w:lineRule="auto"/>
        <w:jc w:val="both"/>
        <w:rPr>
          <w:color w:val="262626" w:themeColor="text1" w:themeTint="D9"/>
        </w:rPr>
      </w:pPr>
      <w:r w:rsidRPr="00012144">
        <w:rPr>
          <w:rFonts w:eastAsia="Calibri"/>
          <w:color w:val="000000" w:themeColor="text1"/>
        </w:rPr>
        <w:t xml:space="preserve">Ketentuan Ukur Jumlah, Cara Pemberian </w:t>
      </w:r>
      <w:r w:rsidRPr="00012144">
        <w:rPr>
          <w:i/>
          <w:lang w:val="id-ID"/>
        </w:rPr>
        <w:t>Doi Mendre</w:t>
      </w:r>
      <w:r w:rsidRPr="00012144">
        <w:t xml:space="preserve"> dalam Perkawinan Adat Suku Bugis </w:t>
      </w:r>
      <w:r w:rsidRPr="00012144">
        <w:rPr>
          <w:lang w:val="id-ID"/>
        </w:rPr>
        <w:t>Sinjai Kecamatan Wolo Kabupaten Kolaka</w:t>
      </w:r>
      <w:r w:rsidRPr="00012144">
        <w:t xml:space="preserve">, ketentuan ukuran </w:t>
      </w:r>
      <w:r w:rsidRPr="00012144">
        <w:rPr>
          <w:color w:val="000000" w:themeColor="text1"/>
        </w:rPr>
        <w:t xml:space="preserve">tinggi rendahnya </w:t>
      </w:r>
      <w:r w:rsidRPr="00012144">
        <w:rPr>
          <w:i/>
          <w:lang w:val="id-ID"/>
        </w:rPr>
        <w:t>Doi Mendre</w:t>
      </w:r>
      <w:r w:rsidRPr="00012144">
        <w:t xml:space="preserve"> dalam adat perkawinan Suku bugis dilihat dari sisi staus ekonomi keluarga calon isteri, </w:t>
      </w:r>
      <w:r w:rsidRPr="00012144">
        <w:rPr>
          <w:lang w:val="id-ID"/>
        </w:rPr>
        <w:t>jenjang pendidikan calon istri</w:t>
      </w:r>
      <w:r w:rsidRPr="00A75F53">
        <w:t xml:space="preserve">, </w:t>
      </w:r>
      <w:r w:rsidRPr="00012144">
        <w:rPr>
          <w:lang w:val="id-ID"/>
        </w:rPr>
        <w:t>status ekonomi keluarga calon istri</w:t>
      </w:r>
      <w:r w:rsidRPr="00012144">
        <w:t>,</w:t>
      </w:r>
      <w:r w:rsidRPr="00012144">
        <w:rPr>
          <w:lang w:val="id-ID"/>
        </w:rPr>
        <w:t xml:space="preserve"> kondisi fisik calon istri</w:t>
      </w:r>
      <w:r w:rsidRPr="00012144">
        <w:t xml:space="preserve">, </w:t>
      </w:r>
      <w:r w:rsidRPr="00012144">
        <w:rPr>
          <w:lang w:val="id-ID"/>
        </w:rPr>
        <w:t>perbedaan antara janda dan perawan</w:t>
      </w:r>
      <w:r w:rsidRPr="00012144">
        <w:t xml:space="preserve">, </w:t>
      </w:r>
    </w:p>
    <w:p w:rsidR="00A97A05" w:rsidRPr="00A97A05" w:rsidRDefault="00280D9A" w:rsidP="00A97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color w:val="262626" w:themeColor="text1" w:themeTint="D9"/>
          <w:lang w:val="id-ID"/>
        </w:rPr>
      </w:pPr>
      <w:r>
        <w:rPr>
          <w:noProof/>
          <w:color w:val="262626" w:themeColor="text1" w:themeTint="D9"/>
        </w:rPr>
        <w:pict>
          <v:rect id="_x0000_s1031" style="position:absolute;left:0;text-align:left;margin-left:199.5pt;margin-top:288.15pt;width:46.95pt;height:24.25pt;z-index:251661312" strokecolor="white [3212]">
            <v:textbox style="mso-next-textbox:#_x0000_s1031">
              <w:txbxContent>
                <w:p w:rsidR="00C219CD" w:rsidRDefault="00A81557" w:rsidP="00C219CD">
                  <w:pPr>
                    <w:jc w:val="center"/>
                  </w:pPr>
                  <w:r>
                    <w:t>76</w:t>
                  </w:r>
                </w:p>
                <w:p w:rsidR="000165D7" w:rsidRPr="00F10DC2" w:rsidRDefault="000165D7" w:rsidP="00C219CD">
                  <w:pPr>
                    <w:jc w:val="center"/>
                  </w:pPr>
                </w:p>
                <w:p w:rsidR="00C219CD" w:rsidRPr="008A4053" w:rsidRDefault="00C219CD" w:rsidP="00C219CD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4B592E" w:rsidRPr="005C0272">
        <w:t xml:space="preserve">Tujuan dan Akibat </w:t>
      </w:r>
      <w:r w:rsidR="004B592E" w:rsidRPr="005C0272">
        <w:rPr>
          <w:i/>
          <w:lang w:val="id-ID"/>
        </w:rPr>
        <w:t>Doi Mendre</w:t>
      </w:r>
      <w:r w:rsidR="004B592E" w:rsidRPr="005C0272">
        <w:t xml:space="preserve"> dalam Perkawinan Adat Suku Bugis </w:t>
      </w:r>
      <w:r w:rsidR="004B592E" w:rsidRPr="005C0272">
        <w:rPr>
          <w:lang w:val="id-ID"/>
        </w:rPr>
        <w:t>Sinjai Kecamatan Wolo Kabupaten Kolaka</w:t>
      </w:r>
      <w:r w:rsidR="004B592E" w:rsidRPr="005C0272">
        <w:t xml:space="preserve">, </w:t>
      </w:r>
      <w:r w:rsidR="004B592E" w:rsidRPr="005C0272">
        <w:rPr>
          <w:i/>
          <w:lang w:val="id-ID"/>
        </w:rPr>
        <w:t>Doi Mendre</w:t>
      </w:r>
      <w:r w:rsidR="004B592E" w:rsidRPr="005C0272">
        <w:rPr>
          <w:i/>
        </w:rPr>
        <w:t xml:space="preserve"> </w:t>
      </w:r>
      <w:r w:rsidR="004B592E" w:rsidRPr="005C0272">
        <w:t>ditujuan</w:t>
      </w:r>
      <w:r w:rsidR="004B592E" w:rsidRPr="005C0272">
        <w:rPr>
          <w:i/>
        </w:rPr>
        <w:t xml:space="preserve"> </w:t>
      </w:r>
      <w:r w:rsidR="004B592E" w:rsidRPr="005C0272">
        <w:t>sebagai keispan modal untuk memeriahkan resepsi pernikahan anak perempuan</w:t>
      </w:r>
      <w:r w:rsidR="004B592E" w:rsidRPr="005C0272">
        <w:rPr>
          <w:lang w:val="id-ID"/>
        </w:rPr>
        <w:t xml:space="preserve">, </w:t>
      </w:r>
      <w:r w:rsidR="004B592E" w:rsidRPr="005C0272">
        <w:t>disilain</w:t>
      </w:r>
      <w:r w:rsidR="004B592E" w:rsidRPr="005C0272">
        <w:rPr>
          <w:lang w:val="id-ID"/>
        </w:rPr>
        <w:t xml:space="preserve"> salah satu tujuan dari pemberian</w:t>
      </w:r>
      <w:r w:rsidR="004B592E" w:rsidRPr="005C0272">
        <w:rPr>
          <w:i/>
          <w:lang w:val="id-ID"/>
        </w:rPr>
        <w:t xml:space="preserve"> Doi Mendre</w:t>
      </w:r>
      <w:r w:rsidR="004B592E" w:rsidRPr="005C0272">
        <w:rPr>
          <w:lang w:val="id-ID"/>
        </w:rPr>
        <w:t xml:space="preserve"> </w:t>
      </w:r>
      <w:r w:rsidR="004B592E" w:rsidRPr="005C0272">
        <w:t>juga</w:t>
      </w:r>
      <w:r w:rsidR="004B592E" w:rsidRPr="005C0272">
        <w:rPr>
          <w:lang w:val="id-ID"/>
        </w:rPr>
        <w:t xml:space="preserve"> untuk memberikan prestise (kehormatan) bagi pihak keluarga perempuan jika jumlah</w:t>
      </w:r>
      <w:r w:rsidR="004B592E" w:rsidRPr="005C0272">
        <w:rPr>
          <w:i/>
          <w:lang w:val="id-ID"/>
        </w:rPr>
        <w:t xml:space="preserve"> Doi Mendre</w:t>
      </w:r>
      <w:r w:rsidR="004B592E" w:rsidRPr="005C0272">
        <w:rPr>
          <w:lang w:val="id-ID"/>
        </w:rPr>
        <w:t xml:space="preserve"> yang dipatok mampu dipenuhi oleh calon mempelai pria. Dampak akibat tingginya</w:t>
      </w:r>
      <w:r w:rsidR="004B592E" w:rsidRPr="005C0272">
        <w:rPr>
          <w:i/>
          <w:lang w:val="id-ID"/>
        </w:rPr>
        <w:t xml:space="preserve"> Doi Mendre</w:t>
      </w:r>
      <w:r w:rsidR="004B592E" w:rsidRPr="005C0272">
        <w:rPr>
          <w:lang w:val="id-ID"/>
        </w:rPr>
        <w:t xml:space="preserve"> adalah munculnya semangat kerja bagi para lelaki yang ingin menikahi gadis dari suku Bugis</w:t>
      </w:r>
      <w:r w:rsidR="004B592E" w:rsidRPr="005C0272">
        <w:t>.</w:t>
      </w:r>
      <w:r w:rsidR="004B592E" w:rsidRPr="005C0272">
        <w:rPr>
          <w:lang w:val="id-ID"/>
        </w:rPr>
        <w:t xml:space="preserve"> Bagi pria yang berasal dari suku Bugis, memenuhi jumlah</w:t>
      </w:r>
      <w:r w:rsidR="004B592E" w:rsidRPr="005C0272">
        <w:rPr>
          <w:i/>
          <w:lang w:val="id-ID"/>
        </w:rPr>
        <w:t xml:space="preserve"> Doi Mendre</w:t>
      </w:r>
      <w:r w:rsidR="004B592E" w:rsidRPr="005C0272">
        <w:rPr>
          <w:lang w:val="id-ID"/>
        </w:rPr>
        <w:t xml:space="preserve"> juga dapat dipandang sebagai praktik budaya </w:t>
      </w:r>
      <w:r w:rsidR="004B592E" w:rsidRPr="004A648C">
        <w:rPr>
          <w:i/>
          <w:lang w:val="id-ID"/>
        </w:rPr>
        <w:t>siri’</w:t>
      </w:r>
      <w:r w:rsidR="004B592E" w:rsidRPr="005C0272">
        <w:rPr>
          <w:lang w:val="id-ID"/>
        </w:rPr>
        <w:t xml:space="preserve"> (malu)</w:t>
      </w:r>
      <w:r w:rsidR="004B592E">
        <w:t>.</w:t>
      </w:r>
    </w:p>
    <w:p w:rsidR="00FA0B1E" w:rsidRPr="00A97A05" w:rsidRDefault="00FA0B1E" w:rsidP="00A97A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color w:val="262626" w:themeColor="text1" w:themeTint="D9"/>
          <w:lang w:val="id-ID"/>
        </w:rPr>
      </w:pPr>
      <w:r w:rsidRPr="00A97A05">
        <w:rPr>
          <w:rFonts w:ascii="TimesNewArabic" w:hAnsi="TimesNewArabic" w:cs="TimesNewArabic"/>
        </w:rPr>
        <w:lastRenderedPageBreak/>
        <w:t xml:space="preserve">Pemberian </w:t>
      </w:r>
      <w:r w:rsidR="00176F5F" w:rsidRPr="00A97A05">
        <w:rPr>
          <w:rFonts w:ascii="TimesNewArabic" w:hAnsi="TimesNewArabic" w:cs="TimesNewArabic"/>
          <w:i/>
          <w:sz w:val="25"/>
          <w:szCs w:val="25"/>
        </w:rPr>
        <w:t>Doi Mendre</w:t>
      </w:r>
      <w:r w:rsidRPr="00A97A05">
        <w:rPr>
          <w:rFonts w:ascii="TimesNewArabic" w:hAnsi="TimesNewArabic" w:cs="TimesNewArabic"/>
          <w:sz w:val="25"/>
          <w:szCs w:val="25"/>
        </w:rPr>
        <w:t xml:space="preserve"> </w:t>
      </w:r>
      <w:r w:rsidRPr="00A97A05">
        <w:rPr>
          <w:rFonts w:ascii="TimesNewArabic" w:hAnsi="TimesNewArabic" w:cs="TimesNewArabic"/>
        </w:rPr>
        <w:t xml:space="preserve">jika ditinjau berdasarkan hukum </w:t>
      </w:r>
      <w:r w:rsidR="004E7617" w:rsidRPr="00A97A05">
        <w:rPr>
          <w:rFonts w:ascii="TimesNewArabic" w:hAnsi="TimesNewArabic" w:cs="TimesNewArabic"/>
        </w:rPr>
        <w:t>Islam</w:t>
      </w:r>
      <w:r w:rsidRPr="00A97A05">
        <w:rPr>
          <w:rFonts w:ascii="TimesNewArabic" w:hAnsi="TimesNewArabic" w:cs="TimesNewArabic"/>
        </w:rPr>
        <w:t xml:space="preserve"> hukumnya mubah atau boleh karena secara umum </w:t>
      </w:r>
      <w:r w:rsidR="00176F5F" w:rsidRPr="00A97A05">
        <w:rPr>
          <w:rFonts w:ascii="TimesNewArabic" w:hAnsi="TimesNewArabic" w:cs="TimesNewArabic"/>
          <w:i/>
          <w:sz w:val="25"/>
          <w:szCs w:val="25"/>
        </w:rPr>
        <w:t>Doi Mendre</w:t>
      </w:r>
      <w:r w:rsidRPr="00A97A05">
        <w:rPr>
          <w:rFonts w:ascii="TimesNewArabic" w:hAnsi="TimesNewArabic" w:cs="TimesNewArabic"/>
          <w:sz w:val="25"/>
          <w:szCs w:val="25"/>
        </w:rPr>
        <w:t xml:space="preserve"> </w:t>
      </w:r>
      <w:r w:rsidRPr="00A97A05">
        <w:rPr>
          <w:rFonts w:ascii="TimesNewArabic" w:hAnsi="TimesNewArabic" w:cs="TimesNewArabic"/>
        </w:rPr>
        <w:t>hanya</w:t>
      </w:r>
      <w:r w:rsidRPr="00A97A05">
        <w:rPr>
          <w:color w:val="262626" w:themeColor="text1" w:themeTint="D9"/>
        </w:rPr>
        <w:t xml:space="preserve"> </w:t>
      </w:r>
      <w:r w:rsidRPr="00A97A05">
        <w:rPr>
          <w:rFonts w:ascii="TimesNewArabic" w:hAnsi="TimesNewArabic" w:cs="TimesNewArabic"/>
        </w:rPr>
        <w:t>merupakan adat kebiasaan masyarakat yang turun temurun. Dalam hukum</w:t>
      </w:r>
      <w:r w:rsidRPr="00A97A05">
        <w:rPr>
          <w:color w:val="262626" w:themeColor="text1" w:themeTint="D9"/>
        </w:rPr>
        <w:t xml:space="preserve"> </w:t>
      </w:r>
      <w:r w:rsidR="004E7617" w:rsidRPr="00A97A05">
        <w:rPr>
          <w:rFonts w:ascii="TimesNewArabic" w:hAnsi="TimesNewArabic" w:cs="TimesNewArabic"/>
        </w:rPr>
        <w:t>Islam</w:t>
      </w:r>
      <w:r w:rsidRPr="00A97A05">
        <w:rPr>
          <w:rFonts w:ascii="TimesNewArabic" w:hAnsi="TimesNewArabic" w:cs="TimesNewArabic"/>
        </w:rPr>
        <w:t xml:space="preserve"> tidak ditentukan kewajiban membayar </w:t>
      </w:r>
      <w:r w:rsidR="00176F5F" w:rsidRPr="00A97A05">
        <w:rPr>
          <w:rFonts w:ascii="TimesNewArabic" w:hAnsi="TimesNewArabic" w:cs="TimesNewArabic"/>
          <w:i/>
          <w:sz w:val="25"/>
          <w:szCs w:val="25"/>
        </w:rPr>
        <w:t>Doi Mendre</w:t>
      </w:r>
      <w:r w:rsidRPr="00A97A05">
        <w:rPr>
          <w:rFonts w:ascii="TimesNewArabic" w:hAnsi="TimesNewArabic" w:cs="TimesNewArabic"/>
        </w:rPr>
        <w:t>, yang ada hanyalah</w:t>
      </w:r>
      <w:r w:rsidRPr="00A97A05">
        <w:rPr>
          <w:color w:val="262626" w:themeColor="text1" w:themeTint="D9"/>
        </w:rPr>
        <w:t xml:space="preserve"> </w:t>
      </w:r>
      <w:r w:rsidRPr="00A97A05">
        <w:rPr>
          <w:rFonts w:ascii="TimesNewArabic" w:hAnsi="TimesNewArabic" w:cs="TimesNewArabic"/>
        </w:rPr>
        <w:t>kewajiban membayar mahar. Adapun dalam proses pelaksanaannya tidak</w:t>
      </w:r>
      <w:r w:rsidRPr="00A97A05">
        <w:rPr>
          <w:color w:val="262626" w:themeColor="text1" w:themeTint="D9"/>
        </w:rPr>
        <w:t xml:space="preserve"> </w:t>
      </w:r>
      <w:r w:rsidRPr="00A97A05">
        <w:rPr>
          <w:rFonts w:ascii="TimesNewArabic" w:hAnsi="TimesNewArabic" w:cs="TimesNewArabic"/>
        </w:rPr>
        <w:t>terdapat unsur paksaan dan dilakukan dengan prinsip musyawarah dan</w:t>
      </w:r>
      <w:r w:rsidRPr="00A97A05">
        <w:rPr>
          <w:color w:val="262626" w:themeColor="text1" w:themeTint="D9"/>
        </w:rPr>
        <w:t xml:space="preserve"> </w:t>
      </w:r>
      <w:r w:rsidRPr="00A97A05">
        <w:rPr>
          <w:rFonts w:ascii="TimesNewArabic" w:hAnsi="TimesNewArabic" w:cs="TimesNewArabic"/>
        </w:rPr>
        <w:t>kesepakatan kedua belah pihak. Selama tidak bertentangan dengan syari’at</w:t>
      </w:r>
      <w:r w:rsidR="004E7617" w:rsidRPr="00A97A05">
        <w:rPr>
          <w:rFonts w:ascii="TimesNewArabic" w:hAnsi="TimesNewArabic" w:cs="TimesNewArabic"/>
        </w:rPr>
        <w:t xml:space="preserve"> Islam</w:t>
      </w:r>
      <w:r w:rsidRPr="00A97A05">
        <w:rPr>
          <w:rFonts w:ascii="TimesNewArabic" w:hAnsi="TimesNewArabic" w:cs="TimesNewArabic"/>
        </w:rPr>
        <w:t xml:space="preserve"> dan sudah menjadi kebiasaan yang berlaku secara terus menerus juga</w:t>
      </w:r>
      <w:r w:rsidRPr="00A97A05">
        <w:rPr>
          <w:color w:val="262626" w:themeColor="text1" w:themeTint="D9"/>
        </w:rPr>
        <w:t xml:space="preserve"> </w:t>
      </w:r>
      <w:r w:rsidRPr="00A97A05">
        <w:rPr>
          <w:rFonts w:ascii="TimesNewArabic" w:hAnsi="TimesNewArabic" w:cs="TimesNewArabic"/>
        </w:rPr>
        <w:t>berulang-ulang maka hal ini diperbolehkan.</w:t>
      </w:r>
    </w:p>
    <w:p w:rsidR="00203969" w:rsidRPr="001C0BBA" w:rsidRDefault="00203969" w:rsidP="004E7617">
      <w:pPr>
        <w:ind w:firstLine="709"/>
        <w:jc w:val="both"/>
        <w:rPr>
          <w:color w:val="262626" w:themeColor="text1" w:themeTint="D9"/>
        </w:rPr>
      </w:pPr>
    </w:p>
    <w:p w:rsidR="009905C1" w:rsidRPr="001C0BBA" w:rsidRDefault="009905C1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262626" w:themeColor="text1" w:themeTint="D9"/>
        </w:rPr>
      </w:pPr>
      <w:r w:rsidRPr="001C0BBA">
        <w:rPr>
          <w:b/>
          <w:color w:val="262626" w:themeColor="text1" w:themeTint="D9"/>
        </w:rPr>
        <w:t>Saran</w:t>
      </w:r>
      <w:r w:rsidR="00625EA0">
        <w:rPr>
          <w:b/>
          <w:color w:val="262626" w:themeColor="text1" w:themeTint="D9"/>
        </w:rPr>
        <w:t xml:space="preserve">. </w:t>
      </w:r>
      <w:r w:rsidR="00520A8B">
        <w:rPr>
          <w:b/>
          <w:color w:val="262626" w:themeColor="text1" w:themeTint="D9"/>
          <w:lang w:val="id-ID"/>
        </w:rPr>
        <w:t xml:space="preserve"> </w:t>
      </w:r>
    </w:p>
    <w:p w:rsidR="007041EC" w:rsidRDefault="000B00A5" w:rsidP="007041EC">
      <w:pPr>
        <w:spacing w:line="480" w:lineRule="auto"/>
        <w:ind w:firstLine="709"/>
        <w:jc w:val="both"/>
        <w:rPr>
          <w:color w:val="000000" w:themeColor="text1"/>
        </w:rPr>
      </w:pPr>
      <w:r w:rsidRPr="000B00A5">
        <w:rPr>
          <w:color w:val="000000" w:themeColor="text1"/>
        </w:rPr>
        <w:t xml:space="preserve">Adapun saran yang dapat </w:t>
      </w:r>
      <w:r w:rsidR="00FB51FE" w:rsidRPr="000B00A5">
        <w:rPr>
          <w:color w:val="000000" w:themeColor="text1"/>
        </w:rPr>
        <w:t xml:space="preserve">penulis </w:t>
      </w:r>
      <w:r w:rsidRPr="000B00A5">
        <w:rPr>
          <w:color w:val="000000" w:themeColor="text1"/>
        </w:rPr>
        <w:t xml:space="preserve">berikan terkait </w:t>
      </w:r>
      <w:r w:rsidR="001F6168" w:rsidRPr="00904683">
        <w:rPr>
          <w:rFonts w:eastAsiaTheme="minorHAnsi"/>
          <w:bCs/>
          <w:lang w:val="id-ID"/>
        </w:rPr>
        <w:t xml:space="preserve">Tinjauan Hukum Islam tentang </w:t>
      </w:r>
      <w:r w:rsidR="001F6168" w:rsidRPr="002B10BD">
        <w:rPr>
          <w:rFonts w:eastAsiaTheme="minorHAnsi"/>
          <w:bCs/>
          <w:i/>
        </w:rPr>
        <w:t>D</w:t>
      </w:r>
      <w:r w:rsidR="00D57D68">
        <w:rPr>
          <w:rFonts w:eastAsiaTheme="minorHAnsi"/>
          <w:bCs/>
          <w:i/>
        </w:rPr>
        <w:t>o</w:t>
      </w:r>
      <w:r w:rsidR="001F6168" w:rsidRPr="002B10BD">
        <w:rPr>
          <w:rFonts w:eastAsiaTheme="minorHAnsi"/>
          <w:bCs/>
          <w:i/>
        </w:rPr>
        <w:t xml:space="preserve">i </w:t>
      </w:r>
      <w:r w:rsidR="00D8300F">
        <w:rPr>
          <w:rFonts w:eastAsiaTheme="minorHAnsi"/>
          <w:bCs/>
          <w:i/>
        </w:rPr>
        <w:t>Mendre</w:t>
      </w:r>
      <w:r w:rsidR="001F6168" w:rsidRPr="00904683">
        <w:rPr>
          <w:rFonts w:eastAsiaTheme="minorHAnsi"/>
          <w:bCs/>
          <w:lang w:val="id-ID"/>
        </w:rPr>
        <w:t xml:space="preserve"> dalam Perkawinan Adat Suku Bugis Sinjai </w:t>
      </w:r>
      <w:r w:rsidRPr="000B00A5">
        <w:rPr>
          <w:color w:val="000000" w:themeColor="text1"/>
        </w:rPr>
        <w:t>adalah:</w:t>
      </w:r>
    </w:p>
    <w:p w:rsidR="00581CEC" w:rsidRPr="009615FF" w:rsidRDefault="005A7EA5" w:rsidP="007041EC">
      <w:pPr>
        <w:spacing w:line="480" w:lineRule="auto"/>
        <w:ind w:firstLine="709"/>
        <w:jc w:val="both"/>
        <w:rPr>
          <w:color w:val="000000" w:themeColor="text1"/>
        </w:rPr>
      </w:pPr>
      <w:r>
        <w:rPr>
          <w:rFonts w:ascii="TimesNewArabic" w:eastAsiaTheme="minorHAnsi" w:hAnsi="TimesNewArabic" w:cs="TimesNewArabic"/>
        </w:rPr>
        <w:t>Masyarakat</w:t>
      </w:r>
      <w:r w:rsidR="00ED3359">
        <w:rPr>
          <w:rFonts w:ascii="TimesNewArabic" w:eastAsiaTheme="minorHAnsi" w:hAnsi="TimesNewArabic" w:cs="TimesNewArabic"/>
        </w:rPr>
        <w:t xml:space="preserve"> Kecamatan Wolo Kabupaten Kolaka</w:t>
      </w:r>
      <w:r>
        <w:rPr>
          <w:rFonts w:ascii="TimesNewArabic" w:eastAsiaTheme="minorHAnsi" w:hAnsi="TimesNewArabic" w:cs="TimesNewArabic"/>
        </w:rPr>
        <w:t xml:space="preserve"> </w:t>
      </w:r>
      <w:r w:rsidR="007041EC">
        <w:rPr>
          <w:rFonts w:ascii="TimesNewArabic" w:eastAsiaTheme="minorHAnsi" w:hAnsi="TimesNewArabic" w:cs="TimesNewArabic"/>
        </w:rPr>
        <w:t xml:space="preserve">hendaknya </w:t>
      </w:r>
      <w:r w:rsidR="00ED3359">
        <w:rPr>
          <w:rFonts w:ascii="TimesNewArabic" w:eastAsiaTheme="minorHAnsi" w:hAnsi="TimesNewArabic" w:cs="TimesNewArabic"/>
        </w:rPr>
        <w:t>memahami</w:t>
      </w:r>
      <w:r w:rsidR="007041EC">
        <w:rPr>
          <w:rFonts w:ascii="TimesNewArabic" w:eastAsiaTheme="minorHAnsi" w:hAnsi="TimesNewArabic" w:cs="TimesNewArabic"/>
        </w:rPr>
        <w:t xml:space="preserve"> secara mendalam mengenai hal-hal</w:t>
      </w:r>
      <w:r w:rsidR="007041EC">
        <w:rPr>
          <w:color w:val="000000" w:themeColor="text1"/>
        </w:rPr>
        <w:t xml:space="preserve"> </w:t>
      </w:r>
      <w:r w:rsidR="007041EC">
        <w:rPr>
          <w:rFonts w:ascii="TimesNewArabic" w:eastAsiaTheme="minorHAnsi" w:hAnsi="TimesNewArabic" w:cs="TimesNewArabic"/>
        </w:rPr>
        <w:t xml:space="preserve">yang berkaitan dengan perkawinan khususnya tentang mahar dan </w:t>
      </w:r>
      <w:r w:rsidR="00980113" w:rsidRPr="00980113">
        <w:rPr>
          <w:rFonts w:ascii="TimesNewArabic" w:eastAsiaTheme="minorHAnsi" w:hAnsi="TimesNewArabic" w:cs="TimesNewArabic"/>
          <w:i/>
          <w:sz w:val="25"/>
          <w:szCs w:val="25"/>
        </w:rPr>
        <w:t>Doi Mendre</w:t>
      </w:r>
      <w:r w:rsidR="007041EC">
        <w:rPr>
          <w:rFonts w:ascii="TimesNewArabic" w:eastAsiaTheme="minorHAnsi" w:hAnsi="TimesNewArabic" w:cs="TimesNewArabic"/>
          <w:sz w:val="25"/>
          <w:szCs w:val="25"/>
        </w:rPr>
        <w:t>.</w:t>
      </w:r>
      <w:r w:rsidR="007041EC">
        <w:rPr>
          <w:color w:val="000000" w:themeColor="text1"/>
        </w:rPr>
        <w:t xml:space="preserve"> </w:t>
      </w:r>
      <w:r w:rsidR="007041EC">
        <w:rPr>
          <w:rFonts w:ascii="TimesNewArabic" w:eastAsiaTheme="minorHAnsi" w:hAnsi="TimesNewArabic" w:cs="TimesNewArabic"/>
        </w:rPr>
        <w:t xml:space="preserve">Sehingga tidak menganggap </w:t>
      </w:r>
      <w:r w:rsidR="00980113" w:rsidRPr="00980113">
        <w:rPr>
          <w:rFonts w:ascii="TimesNewArabic" w:eastAsiaTheme="minorHAnsi" w:hAnsi="TimesNewArabic" w:cs="TimesNewArabic"/>
          <w:i/>
          <w:sz w:val="25"/>
          <w:szCs w:val="25"/>
        </w:rPr>
        <w:t>Doi Mendre</w:t>
      </w:r>
      <w:r w:rsidR="007041EC">
        <w:rPr>
          <w:rFonts w:ascii="TimesNewArabic" w:eastAsiaTheme="minorHAnsi" w:hAnsi="TimesNewArabic" w:cs="TimesNewArabic"/>
          <w:sz w:val="25"/>
          <w:szCs w:val="25"/>
        </w:rPr>
        <w:t xml:space="preserve"> </w:t>
      </w:r>
      <w:r w:rsidR="007041EC">
        <w:rPr>
          <w:rFonts w:ascii="TimesNewArabic" w:eastAsiaTheme="minorHAnsi" w:hAnsi="TimesNewArabic" w:cs="TimesNewArabic"/>
        </w:rPr>
        <w:t>sebagai pemberian wajib mutlak untuk</w:t>
      </w:r>
      <w:r w:rsidR="007041EC">
        <w:rPr>
          <w:color w:val="000000" w:themeColor="text1"/>
        </w:rPr>
        <w:t xml:space="preserve"> </w:t>
      </w:r>
      <w:r w:rsidR="007041EC">
        <w:rPr>
          <w:rFonts w:ascii="TimesNewArabic" w:eastAsiaTheme="minorHAnsi" w:hAnsi="TimesNewArabic" w:cs="TimesNewArabic"/>
        </w:rPr>
        <w:t>wanita yang akan dinikahi melainkan sebagai hadiah untuk mempelai wanita dan</w:t>
      </w:r>
      <w:r w:rsidR="007041EC">
        <w:rPr>
          <w:color w:val="000000" w:themeColor="text1"/>
        </w:rPr>
        <w:t xml:space="preserve"> </w:t>
      </w:r>
      <w:r w:rsidR="007041EC">
        <w:rPr>
          <w:rFonts w:ascii="TimesNewArabic" w:eastAsiaTheme="minorHAnsi" w:hAnsi="TimesNewArabic" w:cs="TimesNewArabic"/>
        </w:rPr>
        <w:t xml:space="preserve">juga </w:t>
      </w:r>
      <w:r w:rsidR="00980113" w:rsidRPr="00980113">
        <w:rPr>
          <w:rFonts w:ascii="TimesNewArabic" w:eastAsiaTheme="minorHAnsi" w:hAnsi="TimesNewArabic" w:cs="TimesNewArabic"/>
          <w:i/>
          <w:sz w:val="25"/>
          <w:szCs w:val="25"/>
        </w:rPr>
        <w:t>Doi Mendre</w:t>
      </w:r>
      <w:r w:rsidR="007041EC">
        <w:rPr>
          <w:rFonts w:ascii="TimesNewArabic" w:eastAsiaTheme="minorHAnsi" w:hAnsi="TimesNewArabic" w:cs="TimesNewArabic"/>
          <w:sz w:val="25"/>
          <w:szCs w:val="25"/>
        </w:rPr>
        <w:t xml:space="preserve"> </w:t>
      </w:r>
      <w:r w:rsidR="007041EC">
        <w:rPr>
          <w:rFonts w:ascii="TimesNewArabic" w:eastAsiaTheme="minorHAnsi" w:hAnsi="TimesNewArabic" w:cs="TimesNewArabic"/>
        </w:rPr>
        <w:t>tidak dijadikan sebagai tolak ukur sukses tidaknya sebuah pesta</w:t>
      </w:r>
      <w:r w:rsidR="007041EC">
        <w:rPr>
          <w:color w:val="000000" w:themeColor="text1"/>
        </w:rPr>
        <w:t xml:space="preserve"> </w:t>
      </w:r>
      <w:r w:rsidR="007041EC">
        <w:rPr>
          <w:rFonts w:ascii="TimesNewArabic" w:eastAsiaTheme="minorHAnsi" w:hAnsi="TimesNewArabic" w:cs="TimesNewArabic"/>
        </w:rPr>
        <w:t>perkawinan. Di</w:t>
      </w:r>
      <w:r w:rsidR="007E529F">
        <w:rPr>
          <w:rFonts w:ascii="TimesNewArabic" w:eastAsiaTheme="minorHAnsi" w:hAnsi="TimesNewArabic" w:cs="TimesNewArabic"/>
        </w:rPr>
        <w:t xml:space="preserve"> </w:t>
      </w:r>
      <w:r w:rsidR="007041EC">
        <w:rPr>
          <w:rFonts w:ascii="TimesNewArabic" w:eastAsiaTheme="minorHAnsi" w:hAnsi="TimesNewArabic" w:cs="TimesNewArabic"/>
        </w:rPr>
        <w:t xml:space="preserve">samping itu juga tidak menjadikan </w:t>
      </w:r>
      <w:r w:rsidR="00980113" w:rsidRPr="00980113">
        <w:rPr>
          <w:rFonts w:ascii="TimesNewArabic" w:eastAsiaTheme="minorHAnsi" w:hAnsi="TimesNewArabic" w:cs="TimesNewArabic"/>
          <w:i/>
          <w:sz w:val="25"/>
          <w:szCs w:val="25"/>
        </w:rPr>
        <w:t>Doi Mendre</w:t>
      </w:r>
      <w:r w:rsidR="007041EC">
        <w:rPr>
          <w:rFonts w:ascii="TimesNewArabic" w:eastAsiaTheme="minorHAnsi" w:hAnsi="TimesNewArabic" w:cs="TimesNewArabic"/>
          <w:sz w:val="25"/>
          <w:szCs w:val="25"/>
        </w:rPr>
        <w:t xml:space="preserve"> </w:t>
      </w:r>
      <w:r w:rsidR="007041EC">
        <w:rPr>
          <w:rFonts w:ascii="TimesNewArabic" w:eastAsiaTheme="minorHAnsi" w:hAnsi="TimesNewArabic" w:cs="TimesNewArabic"/>
        </w:rPr>
        <w:t>sebagai</w:t>
      </w:r>
      <w:r w:rsidR="007041EC">
        <w:rPr>
          <w:color w:val="000000" w:themeColor="text1"/>
        </w:rPr>
        <w:t xml:space="preserve"> </w:t>
      </w:r>
      <w:r w:rsidR="007041EC">
        <w:rPr>
          <w:rFonts w:ascii="TimesNewArabic" w:eastAsiaTheme="minorHAnsi" w:hAnsi="TimesNewArabic" w:cs="TimesNewArabic"/>
        </w:rPr>
        <w:t>penghalang akan terlaksananya niat suci seorang laki-laki yang akan menikah</w:t>
      </w:r>
      <w:r w:rsidR="007041EC">
        <w:rPr>
          <w:color w:val="000000" w:themeColor="text1"/>
        </w:rPr>
        <w:t xml:space="preserve"> </w:t>
      </w:r>
      <w:r w:rsidR="007041EC">
        <w:rPr>
          <w:rFonts w:ascii="TimesNewArabic" w:eastAsiaTheme="minorHAnsi" w:hAnsi="TimesNewArabic" w:cs="TimesNewArabic"/>
        </w:rPr>
        <w:t>dengan wanita yang benar-benar ia cintai.</w:t>
      </w:r>
    </w:p>
    <w:sectPr w:rsidR="00581CEC" w:rsidRPr="009615FF" w:rsidSect="00403D0E">
      <w:headerReference w:type="default" r:id="rId7"/>
      <w:pgSz w:w="12240" w:h="15840" w:code="1"/>
      <w:pgMar w:top="2275" w:right="1699" w:bottom="1699" w:left="2275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99" w:rsidRDefault="00AD3499" w:rsidP="007E2C19">
      <w:r>
        <w:separator/>
      </w:r>
    </w:p>
  </w:endnote>
  <w:endnote w:type="continuationSeparator" w:id="1">
    <w:p w:rsidR="00AD3499" w:rsidRDefault="00AD3499" w:rsidP="007E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Arab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99" w:rsidRDefault="00AD3499" w:rsidP="007E2C19">
      <w:r>
        <w:separator/>
      </w:r>
    </w:p>
  </w:footnote>
  <w:footnote w:type="continuationSeparator" w:id="1">
    <w:p w:rsidR="00AD3499" w:rsidRDefault="00AD3499" w:rsidP="007E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067652"/>
      <w:docPartObj>
        <w:docPartGallery w:val="Page Numbers (Top of Page)"/>
        <w:docPartUnique/>
      </w:docPartObj>
    </w:sdtPr>
    <w:sdtContent>
      <w:p w:rsidR="00F03C2F" w:rsidRPr="00F03C2F" w:rsidRDefault="00280D9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03C2F">
          <w:rPr>
            <w:rFonts w:ascii="Times New Roman" w:hAnsi="Times New Roman"/>
            <w:sz w:val="24"/>
            <w:szCs w:val="24"/>
          </w:rPr>
          <w:fldChar w:fldCharType="begin"/>
        </w:r>
        <w:r w:rsidR="00A260DB" w:rsidRPr="00F03C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3C2F">
          <w:rPr>
            <w:rFonts w:ascii="Times New Roman" w:hAnsi="Times New Roman"/>
            <w:sz w:val="24"/>
            <w:szCs w:val="24"/>
          </w:rPr>
          <w:fldChar w:fldCharType="separate"/>
        </w:r>
        <w:r w:rsidR="00D57D68">
          <w:rPr>
            <w:rFonts w:ascii="Times New Roman" w:hAnsi="Times New Roman"/>
            <w:noProof/>
            <w:sz w:val="24"/>
            <w:szCs w:val="24"/>
          </w:rPr>
          <w:t>77</w:t>
        </w:r>
        <w:r w:rsidRPr="00F03C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F03C2F" w:rsidRDefault="00AD3499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03"/>
    <w:multiLevelType w:val="hybridMultilevel"/>
    <w:tmpl w:val="CDA4A0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5147"/>
    <w:multiLevelType w:val="hybridMultilevel"/>
    <w:tmpl w:val="523E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E3DF8"/>
    <w:multiLevelType w:val="hybridMultilevel"/>
    <w:tmpl w:val="6922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C1"/>
    <w:rsid w:val="000165D7"/>
    <w:rsid w:val="00017312"/>
    <w:rsid w:val="00034431"/>
    <w:rsid w:val="0003653B"/>
    <w:rsid w:val="00037776"/>
    <w:rsid w:val="00041A2E"/>
    <w:rsid w:val="000523E5"/>
    <w:rsid w:val="000716FA"/>
    <w:rsid w:val="000973E0"/>
    <w:rsid w:val="00097D6D"/>
    <w:rsid w:val="000A1C51"/>
    <w:rsid w:val="000B00A5"/>
    <w:rsid w:val="000B6151"/>
    <w:rsid w:val="000D33EE"/>
    <w:rsid w:val="000E4E12"/>
    <w:rsid w:val="000E757A"/>
    <w:rsid w:val="000E7BFD"/>
    <w:rsid w:val="00102796"/>
    <w:rsid w:val="0010631D"/>
    <w:rsid w:val="00112322"/>
    <w:rsid w:val="00113638"/>
    <w:rsid w:val="001313D7"/>
    <w:rsid w:val="00141E62"/>
    <w:rsid w:val="001456A7"/>
    <w:rsid w:val="00163EBC"/>
    <w:rsid w:val="00176F5F"/>
    <w:rsid w:val="00180D29"/>
    <w:rsid w:val="001873C2"/>
    <w:rsid w:val="001B6C81"/>
    <w:rsid w:val="001D310D"/>
    <w:rsid w:val="001F0866"/>
    <w:rsid w:val="001F33BD"/>
    <w:rsid w:val="001F6168"/>
    <w:rsid w:val="00203969"/>
    <w:rsid w:val="00222ECD"/>
    <w:rsid w:val="0023546E"/>
    <w:rsid w:val="00260372"/>
    <w:rsid w:val="00264692"/>
    <w:rsid w:val="00280D9A"/>
    <w:rsid w:val="00285411"/>
    <w:rsid w:val="002A23B8"/>
    <w:rsid w:val="002A4B04"/>
    <w:rsid w:val="002B1ABE"/>
    <w:rsid w:val="002B4CC5"/>
    <w:rsid w:val="002B6502"/>
    <w:rsid w:val="002B710F"/>
    <w:rsid w:val="002C19B2"/>
    <w:rsid w:val="002D02C9"/>
    <w:rsid w:val="002D114E"/>
    <w:rsid w:val="002D3E58"/>
    <w:rsid w:val="002F1A6E"/>
    <w:rsid w:val="002F2420"/>
    <w:rsid w:val="00313183"/>
    <w:rsid w:val="00325D00"/>
    <w:rsid w:val="00345A60"/>
    <w:rsid w:val="00354B84"/>
    <w:rsid w:val="00355113"/>
    <w:rsid w:val="003602F6"/>
    <w:rsid w:val="003611D9"/>
    <w:rsid w:val="00361364"/>
    <w:rsid w:val="00371820"/>
    <w:rsid w:val="00381593"/>
    <w:rsid w:val="0038406C"/>
    <w:rsid w:val="00393B6C"/>
    <w:rsid w:val="003A1437"/>
    <w:rsid w:val="003C3219"/>
    <w:rsid w:val="003C3301"/>
    <w:rsid w:val="003D0F02"/>
    <w:rsid w:val="003E041A"/>
    <w:rsid w:val="003E1F9A"/>
    <w:rsid w:val="003E7787"/>
    <w:rsid w:val="003F48E2"/>
    <w:rsid w:val="003F6AA7"/>
    <w:rsid w:val="00403D0E"/>
    <w:rsid w:val="00410328"/>
    <w:rsid w:val="00430AD9"/>
    <w:rsid w:val="004415D3"/>
    <w:rsid w:val="00441743"/>
    <w:rsid w:val="004455B4"/>
    <w:rsid w:val="00457F31"/>
    <w:rsid w:val="00460177"/>
    <w:rsid w:val="0046603A"/>
    <w:rsid w:val="00474871"/>
    <w:rsid w:val="00491654"/>
    <w:rsid w:val="00492E65"/>
    <w:rsid w:val="004A4445"/>
    <w:rsid w:val="004A648C"/>
    <w:rsid w:val="004A6853"/>
    <w:rsid w:val="004A7D9A"/>
    <w:rsid w:val="004B592E"/>
    <w:rsid w:val="004C2F02"/>
    <w:rsid w:val="004C382B"/>
    <w:rsid w:val="004C7748"/>
    <w:rsid w:val="004E6F88"/>
    <w:rsid w:val="004E71FB"/>
    <w:rsid w:val="004E7617"/>
    <w:rsid w:val="005007CB"/>
    <w:rsid w:val="005026C9"/>
    <w:rsid w:val="00510497"/>
    <w:rsid w:val="00515AAB"/>
    <w:rsid w:val="0051648E"/>
    <w:rsid w:val="00520A8B"/>
    <w:rsid w:val="00531D6F"/>
    <w:rsid w:val="00532896"/>
    <w:rsid w:val="00534372"/>
    <w:rsid w:val="0053660C"/>
    <w:rsid w:val="00557BAB"/>
    <w:rsid w:val="00564A4F"/>
    <w:rsid w:val="00580E11"/>
    <w:rsid w:val="00581570"/>
    <w:rsid w:val="00581CEC"/>
    <w:rsid w:val="005835CA"/>
    <w:rsid w:val="005A7EA5"/>
    <w:rsid w:val="005E24E0"/>
    <w:rsid w:val="005E29E8"/>
    <w:rsid w:val="005E61C3"/>
    <w:rsid w:val="005F7CB0"/>
    <w:rsid w:val="0060643B"/>
    <w:rsid w:val="0062587E"/>
    <w:rsid w:val="00625EA0"/>
    <w:rsid w:val="006273FD"/>
    <w:rsid w:val="00634715"/>
    <w:rsid w:val="006403EC"/>
    <w:rsid w:val="00643035"/>
    <w:rsid w:val="006656EC"/>
    <w:rsid w:val="00671942"/>
    <w:rsid w:val="006A4A53"/>
    <w:rsid w:val="006B37CB"/>
    <w:rsid w:val="006C0557"/>
    <w:rsid w:val="006D6C74"/>
    <w:rsid w:val="006E2AA9"/>
    <w:rsid w:val="007041EC"/>
    <w:rsid w:val="0070460B"/>
    <w:rsid w:val="007107D3"/>
    <w:rsid w:val="007123E5"/>
    <w:rsid w:val="0072459E"/>
    <w:rsid w:val="00756AA1"/>
    <w:rsid w:val="007837F0"/>
    <w:rsid w:val="0078559E"/>
    <w:rsid w:val="00786674"/>
    <w:rsid w:val="007B51C5"/>
    <w:rsid w:val="007D112B"/>
    <w:rsid w:val="007D7117"/>
    <w:rsid w:val="007E2C19"/>
    <w:rsid w:val="007E529F"/>
    <w:rsid w:val="007F3DBC"/>
    <w:rsid w:val="007F6B37"/>
    <w:rsid w:val="00810A81"/>
    <w:rsid w:val="00811C22"/>
    <w:rsid w:val="00812D21"/>
    <w:rsid w:val="00823573"/>
    <w:rsid w:val="00831E89"/>
    <w:rsid w:val="00857CB5"/>
    <w:rsid w:val="00861729"/>
    <w:rsid w:val="00880359"/>
    <w:rsid w:val="008806DE"/>
    <w:rsid w:val="00883E29"/>
    <w:rsid w:val="008961E1"/>
    <w:rsid w:val="008B0ED8"/>
    <w:rsid w:val="008D77DD"/>
    <w:rsid w:val="008E0D66"/>
    <w:rsid w:val="008E0F49"/>
    <w:rsid w:val="008E41A1"/>
    <w:rsid w:val="008F7EFD"/>
    <w:rsid w:val="0090115D"/>
    <w:rsid w:val="00913409"/>
    <w:rsid w:val="009208A7"/>
    <w:rsid w:val="009235D4"/>
    <w:rsid w:val="009430EF"/>
    <w:rsid w:val="00945D9D"/>
    <w:rsid w:val="00961731"/>
    <w:rsid w:val="00980113"/>
    <w:rsid w:val="00983466"/>
    <w:rsid w:val="00990383"/>
    <w:rsid w:val="009905C1"/>
    <w:rsid w:val="009A0D4B"/>
    <w:rsid w:val="009A3477"/>
    <w:rsid w:val="009A4E31"/>
    <w:rsid w:val="009A72AF"/>
    <w:rsid w:val="009B03FF"/>
    <w:rsid w:val="009B1098"/>
    <w:rsid w:val="009B4CC5"/>
    <w:rsid w:val="009C5313"/>
    <w:rsid w:val="009D4D14"/>
    <w:rsid w:val="009D5EA0"/>
    <w:rsid w:val="009E405A"/>
    <w:rsid w:val="009F191B"/>
    <w:rsid w:val="009F3F2A"/>
    <w:rsid w:val="009F6463"/>
    <w:rsid w:val="00A112B7"/>
    <w:rsid w:val="00A260DB"/>
    <w:rsid w:val="00A34A2E"/>
    <w:rsid w:val="00A404E1"/>
    <w:rsid w:val="00A5556B"/>
    <w:rsid w:val="00A7110B"/>
    <w:rsid w:val="00A81557"/>
    <w:rsid w:val="00A818B8"/>
    <w:rsid w:val="00A90B72"/>
    <w:rsid w:val="00A91909"/>
    <w:rsid w:val="00A92607"/>
    <w:rsid w:val="00A946C7"/>
    <w:rsid w:val="00A97A05"/>
    <w:rsid w:val="00AA6517"/>
    <w:rsid w:val="00AB6BFA"/>
    <w:rsid w:val="00AD3499"/>
    <w:rsid w:val="00B10B5F"/>
    <w:rsid w:val="00B27390"/>
    <w:rsid w:val="00B3397E"/>
    <w:rsid w:val="00B43C4A"/>
    <w:rsid w:val="00B54F98"/>
    <w:rsid w:val="00B55DB7"/>
    <w:rsid w:val="00B66C2E"/>
    <w:rsid w:val="00B87594"/>
    <w:rsid w:val="00B93B74"/>
    <w:rsid w:val="00BA2CCE"/>
    <w:rsid w:val="00BA4C56"/>
    <w:rsid w:val="00BB2B17"/>
    <w:rsid w:val="00BB740C"/>
    <w:rsid w:val="00BC6FAA"/>
    <w:rsid w:val="00BE175E"/>
    <w:rsid w:val="00BF228C"/>
    <w:rsid w:val="00BF6088"/>
    <w:rsid w:val="00C20737"/>
    <w:rsid w:val="00C219CD"/>
    <w:rsid w:val="00C2663B"/>
    <w:rsid w:val="00C3060D"/>
    <w:rsid w:val="00C47F15"/>
    <w:rsid w:val="00C53575"/>
    <w:rsid w:val="00C53583"/>
    <w:rsid w:val="00C7218D"/>
    <w:rsid w:val="00C77251"/>
    <w:rsid w:val="00C91D1A"/>
    <w:rsid w:val="00CC557D"/>
    <w:rsid w:val="00CC572E"/>
    <w:rsid w:val="00CC7466"/>
    <w:rsid w:val="00CD0573"/>
    <w:rsid w:val="00CD6D19"/>
    <w:rsid w:val="00D211E5"/>
    <w:rsid w:val="00D37443"/>
    <w:rsid w:val="00D503F5"/>
    <w:rsid w:val="00D57D68"/>
    <w:rsid w:val="00D6488D"/>
    <w:rsid w:val="00D652D0"/>
    <w:rsid w:val="00D8300F"/>
    <w:rsid w:val="00DB2D17"/>
    <w:rsid w:val="00DB6D72"/>
    <w:rsid w:val="00DC3939"/>
    <w:rsid w:val="00DD2958"/>
    <w:rsid w:val="00DD6A03"/>
    <w:rsid w:val="00DF535D"/>
    <w:rsid w:val="00E0443F"/>
    <w:rsid w:val="00E04AC2"/>
    <w:rsid w:val="00E16A68"/>
    <w:rsid w:val="00E16DA6"/>
    <w:rsid w:val="00E2337E"/>
    <w:rsid w:val="00E2648D"/>
    <w:rsid w:val="00E27349"/>
    <w:rsid w:val="00E323E4"/>
    <w:rsid w:val="00E32DEC"/>
    <w:rsid w:val="00E603C9"/>
    <w:rsid w:val="00E70333"/>
    <w:rsid w:val="00E818AC"/>
    <w:rsid w:val="00E819E5"/>
    <w:rsid w:val="00EA0356"/>
    <w:rsid w:val="00EA63C3"/>
    <w:rsid w:val="00EB33D2"/>
    <w:rsid w:val="00EB6B96"/>
    <w:rsid w:val="00EC0CFA"/>
    <w:rsid w:val="00ED3359"/>
    <w:rsid w:val="00ED3AFF"/>
    <w:rsid w:val="00F01F81"/>
    <w:rsid w:val="00F0419A"/>
    <w:rsid w:val="00F05314"/>
    <w:rsid w:val="00F15951"/>
    <w:rsid w:val="00F247F0"/>
    <w:rsid w:val="00F24A5F"/>
    <w:rsid w:val="00F44A8C"/>
    <w:rsid w:val="00F5628F"/>
    <w:rsid w:val="00F71082"/>
    <w:rsid w:val="00F74A7A"/>
    <w:rsid w:val="00FA0B1E"/>
    <w:rsid w:val="00FA2F1F"/>
    <w:rsid w:val="00FB10F8"/>
    <w:rsid w:val="00FB51FE"/>
    <w:rsid w:val="00FC7370"/>
    <w:rsid w:val="00FD30AF"/>
    <w:rsid w:val="00FF0159"/>
    <w:rsid w:val="00FF4568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1"/>
    <w:pPr>
      <w:ind w:left="0"/>
      <w:jc w:val="left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5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905C1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nhideWhenUsed/>
    <w:rsid w:val="009905C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905C1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9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1109</cp:revision>
  <cp:lastPrinted>2013-11-11T19:50:00Z</cp:lastPrinted>
  <dcterms:created xsi:type="dcterms:W3CDTF">2011-12-18T23:13:00Z</dcterms:created>
  <dcterms:modified xsi:type="dcterms:W3CDTF">2013-11-17T03:02:00Z</dcterms:modified>
</cp:coreProperties>
</file>