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E" w:rsidRDefault="00EA2ECE" w:rsidP="00195FC5">
      <w:pPr>
        <w:pStyle w:val="FootnoteText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684F1D">
        <w:rPr>
          <w:rFonts w:ascii="Traditional Arabic" w:hAnsi="Traditional Arabic" w:cs="Traditional Arabic"/>
          <w:b/>
          <w:bCs/>
          <w:sz w:val="40"/>
          <w:szCs w:val="40"/>
          <w:rtl/>
        </w:rPr>
        <w:t>قائمة المراجع</w:t>
      </w:r>
    </w:p>
    <w:p w:rsidR="00195FC5" w:rsidRDefault="00195FC5" w:rsidP="00195FC5">
      <w:pPr>
        <w:pStyle w:val="FootnoteText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195FC5" w:rsidRDefault="0034387C" w:rsidP="00195FC5">
      <w:pPr>
        <w:pStyle w:val="FootnoteText"/>
        <w:jc w:val="right"/>
        <w:rPr>
          <w:rFonts w:ascii="Traditional Arabic" w:hAnsi="Traditional Arabic" w:cs="Traditional Arabic"/>
          <w:sz w:val="40"/>
          <w:szCs w:val="40"/>
          <w:lang w:val="id-ID"/>
        </w:rPr>
      </w:pPr>
      <w:r w:rsidRPr="00796B15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القران الكريم</w:t>
      </w:r>
      <w:bookmarkStart w:id="0" w:name="_GoBack"/>
      <w:bookmarkEnd w:id="0"/>
    </w:p>
    <w:p w:rsidR="00195FC5" w:rsidRDefault="00195FC5" w:rsidP="00195FC5">
      <w:pPr>
        <w:pStyle w:val="FootnoteText"/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بخاري,، </w:t>
      </w:r>
      <w:r w:rsidRPr="008466D4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فسكولوجي قنلتيان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جاكرتا: فت. رينك سفت 2000</w:t>
      </w:r>
    </w:p>
    <w:p w:rsidR="00195FC5" w:rsidRPr="00195FC5" w:rsidRDefault="00195FC5" w:rsidP="00195FC5">
      <w:pPr>
        <w:pStyle w:val="FootnoteText"/>
        <w:bidi/>
        <w:ind w:left="720" w:hanging="720"/>
        <w:jc w:val="both"/>
        <w:rPr>
          <w:rFonts w:ascii="Traditional Arabic" w:hAnsi="Traditional Arabic" w:cs="Traditional Arabic"/>
          <w:sz w:val="40"/>
          <w:szCs w:val="40"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تيم دوسان فإف-إكإف ملاغ،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فغنتار دسار-دسار كفانددكان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. سوربية: اوسهى نسيونل 1988 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195FC5" w:rsidRDefault="00195FC5" w:rsidP="00195FC5">
      <w:pPr>
        <w:pStyle w:val="FootnoteText"/>
        <w:bidi/>
        <w:ind w:left="720" w:hanging="720"/>
        <w:jc w:val="both"/>
        <w:rPr>
          <w:rFonts w:ascii="Traditional Arabic" w:hAnsi="Traditional Arabic" w:cs="Traditional Arabic"/>
          <w:sz w:val="40"/>
          <w:szCs w:val="40"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جمرة. شيف البحر،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فيسكولوجي بلجر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ست. 2، جاكرتا: فت. رينك سبت 2008</w:t>
      </w:r>
    </w:p>
    <w:p w:rsidR="00195FC5" w:rsidRDefault="00195FC5" w:rsidP="00195FC5">
      <w:pPr>
        <w:pStyle w:val="FootnoteText"/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466D4">
        <w:rPr>
          <w:rFonts w:ascii="Traditional Arabic" w:hAnsi="Traditional Arabic" w:cs="Traditional Arabic"/>
          <w:sz w:val="40"/>
          <w:szCs w:val="40"/>
          <w:rtl/>
          <w:lang w:val="id-ID"/>
        </w:rPr>
        <w:t>حتتف:</w:t>
      </w:r>
      <w:r w:rsidRPr="008466D4">
        <w:rPr>
          <w:rFonts w:ascii="Traditional Arabic" w:hAnsi="Traditional Arabic" w:cs="Traditional Arabic"/>
          <w:sz w:val="40"/>
          <w:szCs w:val="40"/>
        </w:rPr>
        <w:t>//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ووو.اس.إد</w:t>
      </w:r>
      <w:r w:rsidRPr="008466D4">
        <w:rPr>
          <w:rFonts w:ascii="Traditional Arabic" w:hAnsi="Traditional Arabic" w:cs="Traditional Arabic"/>
          <w:sz w:val="40"/>
          <w:szCs w:val="40"/>
        </w:rPr>
        <w:t>/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فوندك-مدران-دارالسلام-كوتور-فوتري-4</w:t>
      </w:r>
    </w:p>
    <w:p w:rsidR="00195FC5" w:rsidRPr="00195FC5" w:rsidRDefault="00195FC5" w:rsidP="00195FC5">
      <w:pPr>
        <w:pStyle w:val="FootnoteText"/>
        <w:bidi/>
        <w:ind w:left="720" w:hanging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حملك.أومر،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فسكولوجية دان مغجر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بندغ، سنار بار ألغنسنض 2004</w:t>
      </w:r>
    </w:p>
    <w:p w:rsidR="00195FC5" w:rsidRDefault="0034387C" w:rsidP="00195FC5">
      <w:pPr>
        <w:pStyle w:val="FootnoteText"/>
        <w:bidi/>
        <w:ind w:left="713" w:hanging="709"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دحية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مسقان،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وأصحابه،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البيان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الموجز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عن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معهد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دارالسلام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الحديث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للتربية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الإسلامية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val="id-ID"/>
        </w:rPr>
        <w:t xml:space="preserve"> </w:t>
      </w:r>
      <w:r w:rsidRPr="0034387C"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val="id-ID"/>
        </w:rPr>
        <w:t>كونتور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،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كنتور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فونوروكو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: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دارالسلام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للطباعة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والنشر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.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الطبعة</w:t>
      </w:r>
      <w:r w:rsidRPr="00154E46">
        <w:rPr>
          <w:rFonts w:ascii="Traditional Arabic" w:hAnsi="Traditional Arabic" w:cs="Traditional Arabic"/>
          <w:sz w:val="40"/>
          <w:szCs w:val="40"/>
          <w:rtl/>
          <w:lang w:val="id-ID"/>
        </w:rPr>
        <w:t xml:space="preserve"> </w:t>
      </w:r>
      <w:r w:rsidRPr="00154E4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الثالثة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.</w:t>
      </w:r>
    </w:p>
    <w:p w:rsidR="00195FC5" w:rsidRDefault="00195FC5" w:rsidP="00195FC5">
      <w:pPr>
        <w:pStyle w:val="FootnoteText"/>
        <w:bidi/>
        <w:ind w:left="713" w:hanging="709"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سرخماد. ونارنو،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فغانتر فنلتيان علمية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باندوغ، ترسط</w:t>
      </w:r>
    </w:p>
    <w:p w:rsidR="0034387C" w:rsidRPr="00195FC5" w:rsidRDefault="00195FC5" w:rsidP="00195FC5">
      <w:pPr>
        <w:pStyle w:val="FootnoteText"/>
        <w:bidi/>
        <w:ind w:left="630" w:hanging="630"/>
        <w:jc w:val="both"/>
        <w:rPr>
          <w:rFonts w:ascii="Traditional Arabic" w:hAnsi="Traditional Arabic" w:cs="Traditional Arabic"/>
          <w:sz w:val="40"/>
          <w:szCs w:val="40"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صبري. ألسوف،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فسكولوجي بردسركان كركلوم نسيونل إاإن فكلتاس تربية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ست. 3، جاكرتا: سف. فدمان علم جاي 2007</w:t>
      </w:r>
      <w:r w:rsidR="0034387C" w:rsidRPr="00154E46">
        <w:rPr>
          <w:rFonts w:ascii="Traditional Arabic" w:hAnsi="Traditional Arabic" w:cs="Traditional Arabic"/>
          <w:sz w:val="40"/>
          <w:szCs w:val="40"/>
          <w:lang w:val="id-ID"/>
        </w:rPr>
        <w:tab/>
      </w:r>
    </w:p>
    <w:p w:rsidR="00647837" w:rsidRDefault="00647837" w:rsidP="00195FC5">
      <w:pPr>
        <w:pStyle w:val="FootnoteText"/>
        <w:bidi/>
        <w:ind w:left="720" w:hanging="716"/>
        <w:jc w:val="both"/>
        <w:rPr>
          <w:rFonts w:ascii="Traditional Arabic" w:hAnsi="Traditional Arabic" w:cs="Traditional Arabic"/>
          <w:sz w:val="40"/>
          <w:szCs w:val="40"/>
        </w:rPr>
      </w:pPr>
      <w:r w:rsidRPr="00154E46">
        <w:rPr>
          <w:rFonts w:ascii="Traditional Arabic" w:hAnsi="Traditional Arabic" w:cs="Traditional Arabic"/>
          <w:sz w:val="40"/>
          <w:szCs w:val="40"/>
          <w:rtl/>
        </w:rPr>
        <w:t>عبد الغفار حامد هلال</w:t>
      </w:r>
      <w:r w:rsidRPr="00154E4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العربية خصائصها وسماتها</w:t>
      </w:r>
      <w:r w:rsidRPr="0034387C">
        <w:rPr>
          <w:rFonts w:ascii="Traditional Arabic" w:hAnsi="Traditional Arabic" w:cs="Traditional Arabic"/>
          <w:i/>
          <w:iCs/>
          <w:sz w:val="40"/>
          <w:szCs w:val="40"/>
          <w:rtl/>
        </w:rPr>
        <w:t>.</w:t>
      </w:r>
      <w:r w:rsidRPr="00154E46">
        <w:rPr>
          <w:rFonts w:ascii="Traditional Arabic" w:hAnsi="Traditional Arabic" w:cs="Traditional Arabic"/>
          <w:sz w:val="40"/>
          <w:szCs w:val="40"/>
          <w:rtl/>
        </w:rPr>
        <w:t xml:space="preserve"> الطبعة الرابعة. جامعة الأزهار: حقوق الطبع والنشر محفوظة للمؤلف 1995</w:t>
      </w:r>
      <w:r w:rsidR="00CC479F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195FC5" w:rsidRPr="00154E46" w:rsidRDefault="00195FC5" w:rsidP="00195FC5">
      <w:pPr>
        <w:pStyle w:val="FootnoteText"/>
        <w:bidi/>
        <w:ind w:left="720" w:hanging="720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8466D4">
        <w:rPr>
          <w:rFonts w:ascii="Traditional Arabic" w:hAnsi="Traditional Arabic" w:cs="Traditional Arabic"/>
          <w:sz w:val="40"/>
          <w:szCs w:val="40"/>
          <w:rtl/>
        </w:rPr>
        <w:t xml:space="preserve">فرتر. بوبي، </w:t>
      </w:r>
      <w:r w:rsidRPr="001D687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قوانتم ليرنغ: ممبيسكان بلجر يمان دان منينغكان</w:t>
      </w:r>
      <w:r w:rsidRPr="008466D4">
        <w:rPr>
          <w:rFonts w:ascii="Traditional Arabic" w:hAnsi="Traditional Arabic" w:cs="Traditional Arabic"/>
          <w:sz w:val="40"/>
          <w:szCs w:val="40"/>
          <w:rtl/>
        </w:rPr>
        <w:t>، ست. 11، بندغ:كيف 2007</w:t>
      </w:r>
    </w:p>
    <w:p w:rsidR="00574A32" w:rsidRDefault="00647837" w:rsidP="00195FC5">
      <w:pPr>
        <w:pStyle w:val="FootnoteText"/>
        <w:bidi/>
        <w:ind w:left="855" w:hanging="851"/>
        <w:jc w:val="both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154E46">
        <w:rPr>
          <w:rFonts w:ascii="Traditional Arabic" w:hAnsi="Traditional Arabic" w:cs="Traditional Arabic"/>
          <w:sz w:val="40"/>
          <w:szCs w:val="40"/>
          <w:rtl/>
        </w:rPr>
        <w:t>كارل بروكلمان في كتاب الدكتور على أحمد مدكور</w:t>
      </w:r>
      <w:r w:rsidRPr="00154E4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تدريس فنون اللغة العربية</w:t>
      </w:r>
      <w:r w:rsidRPr="00154E46">
        <w:rPr>
          <w:rFonts w:ascii="Traditional Arabic" w:hAnsi="Traditional Arabic" w:cs="Traditional Arabic"/>
          <w:sz w:val="40"/>
          <w:szCs w:val="40"/>
          <w:rtl/>
        </w:rPr>
        <w:t>.</w:t>
      </w:r>
      <w:r w:rsidR="00CC479F" w:rsidRPr="00154E4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154E46">
        <w:rPr>
          <w:rFonts w:ascii="Traditional Arabic" w:hAnsi="Traditional Arabic" w:cs="Traditional Arabic"/>
          <w:sz w:val="40"/>
          <w:szCs w:val="40"/>
          <w:rtl/>
        </w:rPr>
        <w:t>القاهرة: دار الشواف للنشر والتوزيع 1991</w:t>
      </w:r>
      <w:r w:rsidR="00CC479F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4F64E7" w:rsidRDefault="0034387C" w:rsidP="00195FC5">
      <w:pPr>
        <w:pStyle w:val="FootnoteText"/>
        <w:bidi/>
        <w:ind w:left="720" w:hanging="716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154E46">
        <w:rPr>
          <w:rFonts w:ascii="Traditional Arabic" w:hAnsi="Traditional Arabic" w:cs="Traditional Arabic"/>
          <w:sz w:val="40"/>
          <w:szCs w:val="40"/>
          <w:rtl/>
        </w:rPr>
        <w:t>مصطفى الغلاييني</w:t>
      </w:r>
      <w:r w:rsidRPr="00154E4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  <w:r w:rsidRPr="0034387C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</w:rPr>
        <w:t>جامع الدروس العربية</w:t>
      </w:r>
      <w:r>
        <w:rPr>
          <w:rFonts w:ascii="Traditional Arabic" w:hAnsi="Traditional Arabic" w:cs="Traditional Arabic"/>
          <w:sz w:val="40"/>
          <w:szCs w:val="40"/>
          <w:rtl/>
        </w:rPr>
        <w:t>. بيروت: المكتبة العصرية. 2005</w:t>
      </w:r>
      <w:r w:rsidR="00CC479F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154E4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8466D4" w:rsidRPr="008466D4" w:rsidRDefault="008466D4" w:rsidP="00195FC5">
      <w:pPr>
        <w:pStyle w:val="FootnoteText"/>
        <w:bidi/>
        <w:ind w:left="720" w:hanging="716"/>
        <w:jc w:val="both"/>
        <w:rPr>
          <w:rFonts w:ascii="Traditional Arabic" w:hAnsi="Traditional Arabic" w:cs="Traditional Arabic"/>
          <w:sz w:val="40"/>
          <w:szCs w:val="40"/>
        </w:rPr>
      </w:pPr>
    </w:p>
    <w:p w:rsidR="00C36D6E" w:rsidRPr="008466D4" w:rsidRDefault="00C36D6E" w:rsidP="00195FC5">
      <w:pPr>
        <w:pStyle w:val="FootnoteText"/>
        <w:bidi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B3189D" w:rsidRPr="008466D4" w:rsidRDefault="00B3189D" w:rsidP="00195FC5">
      <w:pPr>
        <w:spacing w:line="240" w:lineRule="auto"/>
        <w:jc w:val="both"/>
        <w:rPr>
          <w:rFonts w:ascii="Traditional Arabic" w:hAnsi="Traditional Arabic" w:cs="Traditional Arabic"/>
          <w:sz w:val="40"/>
          <w:szCs w:val="40"/>
          <w:lang w:val="id-ID"/>
        </w:rPr>
      </w:pPr>
    </w:p>
    <w:p w:rsidR="008466D4" w:rsidRDefault="008466D4" w:rsidP="00195FC5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763B5D">
        <w:rPr>
          <w:rFonts w:asciiTheme="majorBidi" w:hAnsiTheme="majorBidi" w:cstheme="majorBidi"/>
          <w:sz w:val="24"/>
          <w:szCs w:val="24"/>
        </w:rPr>
        <w:t>Buchori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>,</w:t>
      </w:r>
      <w:r w:rsidRPr="00763B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Penelitian</w:t>
      </w:r>
      <w:proofErr w:type="spellEnd"/>
      <w:proofErr w:type="gramStart"/>
      <w:r w:rsidRPr="00763B5D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763B5D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 2000.</w:t>
      </w:r>
    </w:p>
    <w:p w:rsidR="008466D4" w:rsidRDefault="008466D4" w:rsidP="00195FC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763B5D"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id-ID"/>
        </w:rPr>
        <w:t>.</w:t>
      </w:r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, Cet. II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r w:rsidRPr="00763B5D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763B5D">
        <w:rPr>
          <w:rFonts w:asciiTheme="majorBidi" w:hAnsiTheme="majorBidi" w:cstheme="majorBidi"/>
          <w:sz w:val="24"/>
          <w:szCs w:val="24"/>
        </w:rPr>
        <w:t xml:space="preserve">: PT.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>. 200</w:t>
      </w:r>
      <w:r w:rsidRPr="00763B5D"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763B5D">
        <w:rPr>
          <w:rFonts w:asciiTheme="majorBidi" w:hAnsiTheme="majorBidi" w:cstheme="majorBidi"/>
          <w:sz w:val="24"/>
          <w:szCs w:val="24"/>
        </w:rPr>
        <w:t>.</w:t>
      </w:r>
    </w:p>
    <w:p w:rsidR="00B3189D" w:rsidRPr="00B3189D" w:rsidRDefault="008466D4" w:rsidP="00195FC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763B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Mengajar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, Bandung,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Algensindo</w:t>
      </w:r>
      <w:proofErr w:type="gramStart"/>
      <w:r w:rsidRPr="00763B5D">
        <w:rPr>
          <w:rFonts w:asciiTheme="majorBidi" w:hAnsiTheme="majorBidi" w:cstheme="majorBidi"/>
          <w:sz w:val="24"/>
          <w:szCs w:val="24"/>
        </w:rPr>
        <w:t>,2004</w:t>
      </w:r>
      <w:proofErr w:type="gramEnd"/>
    </w:p>
    <w:p w:rsidR="008466D4" w:rsidRDefault="00195FC5" w:rsidP="00195FC5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  <w:lang w:val="id-ID"/>
        </w:rPr>
      </w:pPr>
      <w:hyperlink r:id="rId4" w:history="1">
        <w:r w:rsidR="008466D4" w:rsidRPr="00B8190D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http://www.gontor.ac.id/pondok-modern-darussalam-gontor-putri-4</w:t>
        </w:r>
      </w:hyperlink>
    </w:p>
    <w:p w:rsidR="008466D4" w:rsidRDefault="008466D4" w:rsidP="00195FC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Porter. Bobbi</w:t>
      </w:r>
      <w:r w:rsidRPr="00763B5D">
        <w:rPr>
          <w:rFonts w:asciiTheme="majorBidi" w:hAnsiTheme="majorBidi" w:cstheme="majorBidi"/>
          <w:sz w:val="24"/>
          <w:szCs w:val="24"/>
        </w:rPr>
        <w:t xml:space="preserve">, </w:t>
      </w:r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Quantum Learning: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Membiasakan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Nyaman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sz w:val="24"/>
          <w:szCs w:val="24"/>
        </w:rPr>
        <w:t>, Cet. XXV</w:t>
      </w:r>
      <w:proofErr w:type="gramStart"/>
      <w:r w:rsidRPr="00763B5D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Bandung:Kaifa</w:t>
      </w:r>
      <w:proofErr w:type="spellEnd"/>
      <w:proofErr w:type="gramEnd"/>
      <w:r w:rsidRPr="00763B5D">
        <w:rPr>
          <w:rFonts w:asciiTheme="majorBidi" w:hAnsiTheme="majorBidi" w:cstheme="majorBidi"/>
          <w:sz w:val="24"/>
          <w:szCs w:val="24"/>
        </w:rPr>
        <w:t>, 2007.</w:t>
      </w:r>
    </w:p>
    <w:p w:rsidR="008466D4" w:rsidRDefault="008466D4" w:rsidP="00195FC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466D4" w:rsidRDefault="008466D4" w:rsidP="00195FC5">
      <w:pPr>
        <w:jc w:val="both"/>
      </w:pPr>
      <w:proofErr w:type="spellStart"/>
      <w:r w:rsidRPr="00763B5D">
        <w:rPr>
          <w:rFonts w:asciiTheme="majorBidi" w:hAnsiTheme="majorBidi" w:cstheme="majorBidi"/>
          <w:sz w:val="24"/>
          <w:szCs w:val="24"/>
        </w:rPr>
        <w:t>Sabri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Alisuf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Pendidikan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Berdasarkan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Kurikulum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Nasional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IAIN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Fakultas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>. Cet.</w:t>
      </w:r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III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63B5D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End"/>
      <w:r w:rsidRPr="00763B5D">
        <w:rPr>
          <w:rFonts w:asciiTheme="majorBidi" w:hAnsiTheme="majorBidi" w:cstheme="majorBidi"/>
          <w:sz w:val="24"/>
          <w:szCs w:val="24"/>
        </w:rPr>
        <w:t xml:space="preserve">: CV.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763B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Jaya. </w:t>
      </w:r>
      <w:r w:rsidRPr="00763B5D">
        <w:rPr>
          <w:rFonts w:asciiTheme="majorBidi" w:hAnsiTheme="majorBidi" w:cstheme="majorBidi"/>
          <w:sz w:val="24"/>
          <w:szCs w:val="24"/>
          <w:lang w:val="id-ID"/>
        </w:rPr>
        <w:t>2007</w:t>
      </w:r>
    </w:p>
    <w:p w:rsidR="008466D4" w:rsidRDefault="008466D4" w:rsidP="00195FC5">
      <w:pPr>
        <w:pStyle w:val="FootnoteText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proofErr w:type="spellStart"/>
      <w:r w:rsidRPr="00763B5D">
        <w:rPr>
          <w:rFonts w:asciiTheme="majorBidi" w:hAnsiTheme="majorBidi" w:cstheme="majorBidi"/>
          <w:sz w:val="24"/>
          <w:szCs w:val="24"/>
        </w:rPr>
        <w:t>Surakhmad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Winarno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Pengantar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Penelitian</w:t>
      </w:r>
      <w:proofErr w:type="spellEnd"/>
      <w:r w:rsidRPr="00763B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Ilmiah</w:t>
      </w:r>
      <w:proofErr w:type="spellEnd"/>
      <w:r w:rsidRPr="00763B5D">
        <w:rPr>
          <w:rFonts w:asciiTheme="majorBidi" w:hAnsiTheme="majorBidi" w:cstheme="majorBidi"/>
          <w:i/>
          <w:iCs/>
          <w:sz w:val="24"/>
          <w:szCs w:val="24"/>
        </w:rPr>
        <w:t xml:space="preserve">, Bandung, </w:t>
      </w:r>
      <w:proofErr w:type="spellStart"/>
      <w:r w:rsidRPr="00763B5D">
        <w:rPr>
          <w:rFonts w:asciiTheme="majorBidi" w:hAnsiTheme="majorBidi" w:cstheme="majorBidi"/>
          <w:i/>
          <w:iCs/>
          <w:sz w:val="24"/>
          <w:szCs w:val="24"/>
        </w:rPr>
        <w:t>Tarsito</w:t>
      </w:r>
      <w:proofErr w:type="spellEnd"/>
      <w:r w:rsidRPr="00763B5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8466D4" w:rsidRDefault="008466D4" w:rsidP="00195FC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3B5D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 FIP-IKIP Malang.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Pengantar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Dasar-Dasar</w:t>
      </w:r>
      <w:proofErr w:type="spellEnd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763B5D">
        <w:rPr>
          <w:rFonts w:asciiTheme="majorBidi" w:hAnsiTheme="majorBidi" w:cstheme="majorBidi"/>
          <w:b/>
          <w:bCs/>
          <w:i/>
          <w:iCs/>
          <w:sz w:val="24"/>
          <w:szCs w:val="24"/>
        </w:rPr>
        <w:t>Kependidikan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. Surabaya: Usaha </w:t>
      </w:r>
      <w:proofErr w:type="spellStart"/>
      <w:r w:rsidRPr="00763B5D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763B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63B5D">
        <w:rPr>
          <w:rFonts w:asciiTheme="majorBidi" w:hAnsiTheme="majorBidi" w:cstheme="majorBidi"/>
          <w:sz w:val="24"/>
          <w:szCs w:val="24"/>
        </w:rPr>
        <w:t>1988 .</w:t>
      </w:r>
      <w:proofErr w:type="gramEnd"/>
    </w:p>
    <w:p w:rsidR="00B3189D" w:rsidRDefault="00B3189D" w:rsidP="00195FC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16CDC" w:rsidRPr="00B3189D" w:rsidRDefault="00A16CDC" w:rsidP="00195FC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A16CDC" w:rsidRPr="00B3189D" w:rsidSect="00684F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84B"/>
    <w:rsid w:val="00004FC3"/>
    <w:rsid w:val="00016A14"/>
    <w:rsid w:val="000178E8"/>
    <w:rsid w:val="000219F2"/>
    <w:rsid w:val="00025DC9"/>
    <w:rsid w:val="00040EE3"/>
    <w:rsid w:val="00072AF0"/>
    <w:rsid w:val="00095D7A"/>
    <w:rsid w:val="000C3E37"/>
    <w:rsid w:val="000E1ECC"/>
    <w:rsid w:val="000E2350"/>
    <w:rsid w:val="000F2152"/>
    <w:rsid w:val="001056AE"/>
    <w:rsid w:val="00120976"/>
    <w:rsid w:val="00125024"/>
    <w:rsid w:val="00137784"/>
    <w:rsid w:val="00144B44"/>
    <w:rsid w:val="00154E46"/>
    <w:rsid w:val="00155680"/>
    <w:rsid w:val="0019310D"/>
    <w:rsid w:val="00195FC5"/>
    <w:rsid w:val="001B6474"/>
    <w:rsid w:val="001C0499"/>
    <w:rsid w:val="001D6877"/>
    <w:rsid w:val="001E7CAA"/>
    <w:rsid w:val="001F0E1E"/>
    <w:rsid w:val="00203B76"/>
    <w:rsid w:val="002247C6"/>
    <w:rsid w:val="00240E60"/>
    <w:rsid w:val="00261F58"/>
    <w:rsid w:val="00274628"/>
    <w:rsid w:val="002806ED"/>
    <w:rsid w:val="002B2E31"/>
    <w:rsid w:val="002C26BE"/>
    <w:rsid w:val="002D01B1"/>
    <w:rsid w:val="00314AAD"/>
    <w:rsid w:val="0034387C"/>
    <w:rsid w:val="003470C1"/>
    <w:rsid w:val="0035006B"/>
    <w:rsid w:val="00367A80"/>
    <w:rsid w:val="003743EC"/>
    <w:rsid w:val="003A092F"/>
    <w:rsid w:val="003B24E8"/>
    <w:rsid w:val="003B4E60"/>
    <w:rsid w:val="003C6A90"/>
    <w:rsid w:val="003D40C3"/>
    <w:rsid w:val="003E099A"/>
    <w:rsid w:val="003F206A"/>
    <w:rsid w:val="003F2D7C"/>
    <w:rsid w:val="003F3246"/>
    <w:rsid w:val="003F5524"/>
    <w:rsid w:val="00416BE5"/>
    <w:rsid w:val="00424C76"/>
    <w:rsid w:val="00425DE4"/>
    <w:rsid w:val="00426B1F"/>
    <w:rsid w:val="00427376"/>
    <w:rsid w:val="004352C0"/>
    <w:rsid w:val="00461830"/>
    <w:rsid w:val="004621FE"/>
    <w:rsid w:val="0046477D"/>
    <w:rsid w:val="00473A21"/>
    <w:rsid w:val="004A0951"/>
    <w:rsid w:val="004A2CF8"/>
    <w:rsid w:val="004A50E0"/>
    <w:rsid w:val="004A6CE7"/>
    <w:rsid w:val="004A7614"/>
    <w:rsid w:val="004E037C"/>
    <w:rsid w:val="004E751A"/>
    <w:rsid w:val="004F64E7"/>
    <w:rsid w:val="00521EB3"/>
    <w:rsid w:val="0053314F"/>
    <w:rsid w:val="005451A8"/>
    <w:rsid w:val="0055435F"/>
    <w:rsid w:val="00567BFD"/>
    <w:rsid w:val="00574A32"/>
    <w:rsid w:val="00597667"/>
    <w:rsid w:val="00597B93"/>
    <w:rsid w:val="005D21D2"/>
    <w:rsid w:val="005D3F28"/>
    <w:rsid w:val="00627DAC"/>
    <w:rsid w:val="00647837"/>
    <w:rsid w:val="0066318E"/>
    <w:rsid w:val="00684F1D"/>
    <w:rsid w:val="006950D0"/>
    <w:rsid w:val="006964AC"/>
    <w:rsid w:val="006A61DA"/>
    <w:rsid w:val="006C6B18"/>
    <w:rsid w:val="006D3E36"/>
    <w:rsid w:val="006E0397"/>
    <w:rsid w:val="006E49ED"/>
    <w:rsid w:val="00716AE6"/>
    <w:rsid w:val="0072007E"/>
    <w:rsid w:val="00724FA2"/>
    <w:rsid w:val="007279DC"/>
    <w:rsid w:val="00741140"/>
    <w:rsid w:val="007532AF"/>
    <w:rsid w:val="00753AA5"/>
    <w:rsid w:val="00763B5D"/>
    <w:rsid w:val="00796B15"/>
    <w:rsid w:val="007A6F97"/>
    <w:rsid w:val="007B683D"/>
    <w:rsid w:val="007C04E1"/>
    <w:rsid w:val="007E439D"/>
    <w:rsid w:val="007E76BC"/>
    <w:rsid w:val="007F33A0"/>
    <w:rsid w:val="007F37BF"/>
    <w:rsid w:val="00804ECD"/>
    <w:rsid w:val="00813538"/>
    <w:rsid w:val="00834A9E"/>
    <w:rsid w:val="008466D4"/>
    <w:rsid w:val="008476FC"/>
    <w:rsid w:val="00853894"/>
    <w:rsid w:val="00864559"/>
    <w:rsid w:val="008767C8"/>
    <w:rsid w:val="008966E5"/>
    <w:rsid w:val="008A238D"/>
    <w:rsid w:val="008D057C"/>
    <w:rsid w:val="008E6C20"/>
    <w:rsid w:val="008F2E4B"/>
    <w:rsid w:val="00914CD7"/>
    <w:rsid w:val="00917A96"/>
    <w:rsid w:val="00924526"/>
    <w:rsid w:val="00932141"/>
    <w:rsid w:val="00941758"/>
    <w:rsid w:val="00957668"/>
    <w:rsid w:val="00992FB9"/>
    <w:rsid w:val="00994711"/>
    <w:rsid w:val="009A1F47"/>
    <w:rsid w:val="009A2A9D"/>
    <w:rsid w:val="009A6304"/>
    <w:rsid w:val="009C5B98"/>
    <w:rsid w:val="009D30CC"/>
    <w:rsid w:val="00A16CDC"/>
    <w:rsid w:val="00A321E6"/>
    <w:rsid w:val="00A4566B"/>
    <w:rsid w:val="00A5120D"/>
    <w:rsid w:val="00A7481B"/>
    <w:rsid w:val="00A82C01"/>
    <w:rsid w:val="00A8314D"/>
    <w:rsid w:val="00A867CD"/>
    <w:rsid w:val="00A9120F"/>
    <w:rsid w:val="00A958A9"/>
    <w:rsid w:val="00AE68C5"/>
    <w:rsid w:val="00B026A3"/>
    <w:rsid w:val="00B2684B"/>
    <w:rsid w:val="00B26AC0"/>
    <w:rsid w:val="00B3189D"/>
    <w:rsid w:val="00B37C3E"/>
    <w:rsid w:val="00B51E77"/>
    <w:rsid w:val="00B7589B"/>
    <w:rsid w:val="00B97AB8"/>
    <w:rsid w:val="00BB7B7A"/>
    <w:rsid w:val="00C14854"/>
    <w:rsid w:val="00C33674"/>
    <w:rsid w:val="00C36D6E"/>
    <w:rsid w:val="00C6133F"/>
    <w:rsid w:val="00C62048"/>
    <w:rsid w:val="00C85084"/>
    <w:rsid w:val="00C91E22"/>
    <w:rsid w:val="00CC479F"/>
    <w:rsid w:val="00CD3B50"/>
    <w:rsid w:val="00D01097"/>
    <w:rsid w:val="00D16F9D"/>
    <w:rsid w:val="00D442EB"/>
    <w:rsid w:val="00D7597A"/>
    <w:rsid w:val="00D823EB"/>
    <w:rsid w:val="00D834AC"/>
    <w:rsid w:val="00D93098"/>
    <w:rsid w:val="00D945C3"/>
    <w:rsid w:val="00DB2742"/>
    <w:rsid w:val="00DF40A6"/>
    <w:rsid w:val="00E16564"/>
    <w:rsid w:val="00E43521"/>
    <w:rsid w:val="00E46657"/>
    <w:rsid w:val="00E526DF"/>
    <w:rsid w:val="00E6175F"/>
    <w:rsid w:val="00E710AD"/>
    <w:rsid w:val="00E942A4"/>
    <w:rsid w:val="00EA065D"/>
    <w:rsid w:val="00EA2ECE"/>
    <w:rsid w:val="00ED4893"/>
    <w:rsid w:val="00ED4D2E"/>
    <w:rsid w:val="00EF0A81"/>
    <w:rsid w:val="00EF1FFD"/>
    <w:rsid w:val="00F10D3A"/>
    <w:rsid w:val="00F131C2"/>
    <w:rsid w:val="00F1537E"/>
    <w:rsid w:val="00F20442"/>
    <w:rsid w:val="00F2240D"/>
    <w:rsid w:val="00F37EA7"/>
    <w:rsid w:val="00F43727"/>
    <w:rsid w:val="00F6353F"/>
    <w:rsid w:val="00F71C63"/>
    <w:rsid w:val="00F7375D"/>
    <w:rsid w:val="00F84972"/>
    <w:rsid w:val="00FE329E"/>
    <w:rsid w:val="00FE7D13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7925B-E7C1-448C-A7F8-7E64A1D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2684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684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2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ntor.ac.id/pondok-modern-darussalam-gontor-putr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</dc:creator>
  <cp:lastModifiedBy>MISS A</cp:lastModifiedBy>
  <cp:revision>36</cp:revision>
  <cp:lastPrinted>2015-10-29T05:02:00Z</cp:lastPrinted>
  <dcterms:created xsi:type="dcterms:W3CDTF">2014-11-24T08:36:00Z</dcterms:created>
  <dcterms:modified xsi:type="dcterms:W3CDTF">2015-10-29T05:03:00Z</dcterms:modified>
</cp:coreProperties>
</file>