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BAB III</w:t>
      </w:r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METODE PENELITIAN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Bentuk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Penelitian</w:t>
      </w:r>
      <w:proofErr w:type="spellEnd"/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Bentuk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korelasional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pendekatan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kuantitatif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Adapun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korelasional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meneliti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variabel-veriabel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korelasional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meneliti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sejauh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mana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sebab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akibat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lain.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menghubungkan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dua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saja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korelasinya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disebut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sederhana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751D6F" w:rsidRPr="006358C3" w:rsidRDefault="00751D6F" w:rsidP="006358C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Lokasi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Waktu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751D6F" w:rsidRPr="006358C3" w:rsidRDefault="00751D6F" w:rsidP="006358C3">
      <w:pPr>
        <w:pStyle w:val="ListParagraph"/>
        <w:numPr>
          <w:ilvl w:val="3"/>
          <w:numId w:val="1"/>
        </w:numPr>
        <w:shd w:val="clear" w:color="auto" w:fill="FFFFFF" w:themeFill="background1"/>
        <w:spacing w:after="0" w:line="48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Lokasi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1D6F" w:rsidRPr="006358C3" w:rsidRDefault="00751D6F" w:rsidP="006358C3">
      <w:pPr>
        <w:shd w:val="clear" w:color="auto" w:fill="FFFFFF" w:themeFill="background1"/>
        <w:spacing w:after="0" w:line="480" w:lineRule="auto"/>
        <w:ind w:left="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di Madrasah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Tsanawiyah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(MTs)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Bahrul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Mubarak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Toronipa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Soropia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Konawe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Pemilihan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lokasi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dadasarkan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pertimbangan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(MTs)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Bahrul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Mubarak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Toronipa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lembaga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berciri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khas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keislaman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menghasilkan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didik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berprestasi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tempat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juga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representative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ingin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diteliti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="00EB0003"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751D6F" w:rsidRPr="006358C3" w:rsidRDefault="00751D6F" w:rsidP="006358C3">
      <w:pPr>
        <w:pStyle w:val="ListParagraph"/>
        <w:numPr>
          <w:ilvl w:val="3"/>
          <w:numId w:val="1"/>
        </w:numPr>
        <w:shd w:val="clear" w:color="auto" w:fill="FFFFFF" w:themeFill="background1"/>
        <w:spacing w:after="0" w:line="48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</w:p>
    <w:p w:rsidR="00751D6F" w:rsidRPr="006358C3" w:rsidRDefault="00EB0003" w:rsidP="006358C3">
      <w:pPr>
        <w:shd w:val="clear" w:color="auto" w:fill="FFFFFF" w:themeFill="background1"/>
        <w:spacing w:after="0" w:line="480" w:lineRule="auto"/>
        <w:ind w:left="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  <w:lang w:val="en-US"/>
        </w:rPr>
        <w:t>dilaksanakan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tiga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bulan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terhitung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sejak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58C3" w:rsidRPr="006358C3">
        <w:rPr>
          <w:rFonts w:ascii="Times New Roman" w:hAnsi="Times New Roman"/>
          <w:color w:val="000000" w:themeColor="text1"/>
          <w:sz w:val="24"/>
          <w:szCs w:val="24"/>
        </w:rPr>
        <w:t>selesai</w:t>
      </w:r>
      <w:proofErr w:type="spellEnd"/>
      <w:r w:rsidR="006358C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58C3" w:rsidRPr="006358C3">
        <w:rPr>
          <w:rFonts w:ascii="Times New Roman" w:hAnsi="Times New Roman"/>
          <w:color w:val="000000" w:themeColor="text1"/>
          <w:sz w:val="24"/>
          <w:szCs w:val="24"/>
        </w:rPr>
        <w:t>diseminarkan</w:t>
      </w:r>
      <w:proofErr w:type="spellEnd"/>
      <w:r w:rsidR="006358C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58C3"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6358C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mendapat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izin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hingga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rangkum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skiripsi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0003" w:rsidRPr="006358C3" w:rsidRDefault="00EB0003" w:rsidP="006358C3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1D6F" w:rsidRPr="006358C3" w:rsidRDefault="00751D6F" w:rsidP="006358C3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Populasi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Sampel</w:t>
      </w:r>
      <w:proofErr w:type="spellEnd"/>
    </w:p>
    <w:p w:rsidR="00751D6F" w:rsidRPr="006358C3" w:rsidRDefault="00751D6F" w:rsidP="006358C3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Populasi</w:t>
      </w:r>
      <w:proofErr w:type="spellEnd"/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wilayah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generalisasi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terdiri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objek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subjek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karakteristik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tertentu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ditetapkan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dipelajari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ditarik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kesimpulannya</w:t>
      </w:r>
      <w:proofErr w:type="spellEnd"/>
      <w:r w:rsidR="00AE506F" w:rsidRPr="006358C3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AE506F"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AE50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seluruh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guru </w:t>
      </w:r>
      <w:r w:rsidR="0078486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 w:rsidR="00784863" w:rsidRPr="006358C3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="0078486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di Madrasah </w:t>
      </w:r>
      <w:proofErr w:type="spellStart"/>
      <w:r w:rsidR="00784863" w:rsidRPr="006358C3">
        <w:rPr>
          <w:rFonts w:ascii="Times New Roman" w:hAnsi="Times New Roman"/>
          <w:color w:val="000000" w:themeColor="text1"/>
          <w:sz w:val="24"/>
          <w:szCs w:val="24"/>
        </w:rPr>
        <w:t>Tsanawiyah</w:t>
      </w:r>
      <w:proofErr w:type="spellEnd"/>
      <w:r w:rsidR="0078486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(MTs) </w:t>
      </w:r>
      <w:proofErr w:type="spellStart"/>
      <w:r w:rsidR="00784863" w:rsidRPr="006358C3">
        <w:rPr>
          <w:rFonts w:ascii="Times New Roman" w:hAnsi="Times New Roman"/>
          <w:color w:val="000000" w:themeColor="text1"/>
          <w:sz w:val="24"/>
          <w:szCs w:val="24"/>
        </w:rPr>
        <w:t>Bahrul</w:t>
      </w:r>
      <w:proofErr w:type="spellEnd"/>
      <w:r w:rsidR="0078486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Mubarak </w:t>
      </w:r>
      <w:proofErr w:type="spellStart"/>
      <w:r w:rsidR="00784863" w:rsidRPr="006358C3">
        <w:rPr>
          <w:rFonts w:ascii="Times New Roman" w:hAnsi="Times New Roman"/>
          <w:color w:val="000000" w:themeColor="text1"/>
          <w:sz w:val="24"/>
          <w:szCs w:val="24"/>
        </w:rPr>
        <w:t>Toronipa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4863" w:rsidRPr="006358C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2 orang.</w:t>
      </w:r>
      <w:proofErr w:type="gramEnd"/>
    </w:p>
    <w:p w:rsidR="00751D6F" w:rsidRPr="006358C3" w:rsidRDefault="00751D6F" w:rsidP="006358C3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Sampel</w:t>
      </w:r>
      <w:proofErr w:type="spellEnd"/>
    </w:p>
    <w:p w:rsidR="00751D6F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bagian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karakteristik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dimiliki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="00AE506F" w:rsidRPr="006358C3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="00AE506F"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AE50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Menurut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Arikunto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apabila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subjeknya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populasinya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100 orang,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diambil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semuanya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Selanjutnya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jika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subjeknya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populasinya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100 orang,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diambil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diantara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10-15%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20-25%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="00AE506F" w:rsidRPr="006358C3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3"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57009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mengacu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pendapat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Arikunto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mengambil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7009" w:rsidRPr="006358C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0%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populasi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</w:t>
      </w:r>
      <w:r w:rsidR="00D57009" w:rsidRPr="006358C3">
        <w:rPr>
          <w:rFonts w:ascii="Times New Roman" w:hAnsi="Times New Roman"/>
          <w:color w:val="000000" w:themeColor="text1"/>
          <w:sz w:val="24"/>
          <w:szCs w:val="24"/>
        </w:rPr>
        <w:t>anyak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7009" w:rsidRPr="006358C3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orang.</w:t>
      </w:r>
      <w:proofErr w:type="gramEnd"/>
    </w:p>
    <w:p w:rsidR="00206B1C" w:rsidRDefault="00206B1C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6B1C" w:rsidRPr="006358C3" w:rsidRDefault="00206B1C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1D6F" w:rsidRPr="006358C3" w:rsidRDefault="00751D6F" w:rsidP="006358C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Teknik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Pengumpulan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Data</w:t>
      </w:r>
    </w:p>
    <w:p w:rsidR="00751D6F" w:rsidRPr="006358C3" w:rsidRDefault="00D57009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tahap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pengumpulan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data,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751D6F" w:rsidRPr="006358C3" w:rsidRDefault="00751D6F" w:rsidP="006358C3">
      <w:pPr>
        <w:pStyle w:val="ListParagraph"/>
        <w:widowControl w:val="0"/>
        <w:numPr>
          <w:ilvl w:val="0"/>
          <w:numId w:val="4"/>
        </w:numPr>
        <w:shd w:val="clear" w:color="auto" w:fill="FFFFFF" w:themeFill="background1"/>
        <w:autoSpaceDE w:val="0"/>
        <w:spacing w:after="0" w:line="480" w:lineRule="auto"/>
        <w:ind w:lef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Kuesioner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berupa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rangkaian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pertanyaan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disusun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sistematis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sebuah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daftar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pertanyaan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dikirim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diisi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4"/>
        </w:numPr>
        <w:shd w:val="clear" w:color="auto" w:fill="FFFFFF" w:themeFill="background1"/>
        <w:autoSpaceDE w:val="0"/>
        <w:spacing w:after="0" w:line="480" w:lineRule="auto"/>
        <w:ind w:lef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pengumpulan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menghimpun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dihimpun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pengamatan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penggunaan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panca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indera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7653" w:rsidRPr="006358C3" w:rsidRDefault="00807653" w:rsidP="006358C3">
      <w:pPr>
        <w:pStyle w:val="ListParagraph"/>
        <w:widowControl w:val="0"/>
        <w:numPr>
          <w:ilvl w:val="0"/>
          <w:numId w:val="4"/>
        </w:numPr>
        <w:shd w:val="clear" w:color="auto" w:fill="FFFFFF" w:themeFill="background1"/>
        <w:autoSpaceDE w:val="0"/>
        <w:spacing w:after="0" w:line="480" w:lineRule="auto"/>
        <w:ind w:lef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Dokumentasi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mencatat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menyalin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di Madrasah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Tsanawiyah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(MTs)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Bahrul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Mubarak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Toronipa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terkait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58C3">
        <w:rPr>
          <w:rFonts w:ascii="Times New Roman" w:hAnsi="Times New Roman"/>
          <w:color w:val="000000" w:themeColor="text1"/>
          <w:sz w:val="24"/>
          <w:szCs w:val="24"/>
        </w:rPr>
        <w:t>topik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Teknik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pengukuran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Skor</w:t>
      </w:r>
      <w:proofErr w:type="spellEnd"/>
    </w:p>
    <w:p w:rsidR="00751D6F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pengukuran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memakai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skala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>liker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kuesioner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</w:t>
      </w:r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ng </w:t>
      </w:r>
      <w:proofErr w:type="spellStart"/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>disebarkan</w:t>
      </w:r>
      <w:proofErr w:type="spellEnd"/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807653" w:rsidRPr="006358C3">
        <w:rPr>
          <w:rStyle w:val="FootnoteReference"/>
          <w:rFonts w:ascii="Times New Roman" w:hAnsi="Times New Roman"/>
          <w:color w:val="000000" w:themeColor="text1"/>
          <w:sz w:val="24"/>
          <w:szCs w:val="24"/>
        </w:rPr>
        <w:footnoteReference w:id="4"/>
      </w:r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4E1D5F" w:rsidRDefault="004E1D5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1D5F" w:rsidRDefault="004E1D5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1D5F" w:rsidRDefault="004E1D5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1D5F" w:rsidRPr="006358C3" w:rsidRDefault="004E1D5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lastRenderedPageBreak/>
        <w:t>Adapun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penentuan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setiap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pertanyaan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berbeda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5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“a”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diberi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tertingi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: 5</w:t>
      </w:r>
      <w:r w:rsidR="001A18B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61ED3"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 w:rsidR="001A18B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5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“b”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diberi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: 4</w:t>
      </w:r>
      <w:r w:rsidR="001A18B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61ED3">
        <w:rPr>
          <w:rFonts w:ascii="Times New Roman" w:hAnsi="Times New Roman"/>
          <w:color w:val="000000" w:themeColor="text1"/>
          <w:sz w:val="24"/>
          <w:szCs w:val="24"/>
        </w:rPr>
        <w:t>sering</w:t>
      </w:r>
      <w:proofErr w:type="spellEnd"/>
      <w:r w:rsidR="001A18B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5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“c”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diberi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sedang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: 3</w:t>
      </w:r>
      <w:r w:rsidR="001A18B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61ED3">
        <w:rPr>
          <w:rFonts w:ascii="Times New Roman" w:hAnsi="Times New Roman"/>
          <w:color w:val="000000" w:themeColor="text1"/>
          <w:sz w:val="24"/>
          <w:szCs w:val="24"/>
        </w:rPr>
        <w:t>kadang-kadang</w:t>
      </w:r>
      <w:proofErr w:type="spellEnd"/>
      <w:r w:rsidR="001A18B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5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“d”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diberi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: 2</w:t>
      </w:r>
      <w:r w:rsidR="001A18B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61ED3">
        <w:rPr>
          <w:rFonts w:ascii="Times New Roman" w:hAnsi="Times New Roman"/>
          <w:color w:val="000000" w:themeColor="text1"/>
          <w:sz w:val="24"/>
          <w:szCs w:val="24"/>
        </w:rPr>
        <w:t>jarang</w:t>
      </w:r>
      <w:proofErr w:type="spellEnd"/>
      <w:r w:rsidR="001A18B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5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“e”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diberi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terendah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: 1</w:t>
      </w:r>
      <w:r w:rsidR="001A18B8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261ED3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="00261E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61ED3">
        <w:rPr>
          <w:rFonts w:ascii="Times New Roman" w:hAnsi="Times New Roman"/>
          <w:color w:val="000000" w:themeColor="text1"/>
          <w:sz w:val="24"/>
          <w:szCs w:val="24"/>
        </w:rPr>
        <w:t>pernah</w:t>
      </w:r>
      <w:proofErr w:type="spellEnd"/>
      <w:r w:rsidR="001A18B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Kemudian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menentukan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masing-masing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apakah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tergolong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sedang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ditentukan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kelas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intervalnya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07653" w:rsidRPr="006358C3" w:rsidRDefault="00251BBE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skor tertinggi-skor terendah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banyaknya bilangan</m:t>
              </m:r>
            </m:den>
          </m:f>
        </m:oMath>
      </m:oMathPara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5-1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= 0. 80 </w:t>
      </w:r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5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demikian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diketahui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masing-masing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variable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6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= 4,21 – 5.00 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6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= 3,41 – 4,20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6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sedang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= 2,61 – 3,40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6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= 1,81 – 2,60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6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= 1,00 – 1,80</w:t>
      </w:r>
    </w:p>
    <w:p w:rsidR="004E1D5F" w:rsidRDefault="004E1D5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5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5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menentukan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tergolong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sedang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rendah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ditentukan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rata-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ratania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membagi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pertanyaan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. Dan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pembagian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diketahui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termasuk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mana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1D6F" w:rsidRPr="006358C3" w:rsidRDefault="00751D6F" w:rsidP="006358C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Teknik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Analisa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Data</w:t>
      </w:r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analisa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teknik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analisa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kuantitatif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analisa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menguji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variable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bebas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(X)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variable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terikat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(Y),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instrument :</w:t>
      </w:r>
      <w:proofErr w:type="gramEnd"/>
    </w:p>
    <w:p w:rsidR="00B16FC0" w:rsidRPr="006358C3" w:rsidRDefault="00B16FC0" w:rsidP="006358C3">
      <w:pPr>
        <w:pStyle w:val="ListParagraph"/>
        <w:widowControl w:val="0"/>
        <w:numPr>
          <w:ilvl w:val="0"/>
          <w:numId w:val="7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Persamaan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regresi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linear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sederhana</w:t>
      </w:r>
      <w:proofErr w:type="spellEnd"/>
    </w:p>
    <w:p w:rsidR="00B16FC0" w:rsidRPr="006358C3" w:rsidRDefault="00B16FC0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Langkah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persamaan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regresi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linear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sederhana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16FC0" w:rsidRPr="006358C3" w:rsidRDefault="00B16FC0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Y = a +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Bx</w:t>
      </w:r>
      <w:proofErr w:type="spellEnd"/>
    </w:p>
    <w:p w:rsidR="00B16FC0" w:rsidRPr="006358C3" w:rsidRDefault="00B16FC0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16FC0" w:rsidRPr="006358C3" w:rsidRDefault="00B16FC0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xy) -</m:t>
                </m:r>
              </m:e>
            </m:nary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 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x) </m:t>
                </m:r>
              </m:e>
            </m:nary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y)</m:t>
                </m:r>
              </m:e>
            </m:nary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 (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2) </m:t>
                </m:r>
              </m:e>
            </m:nary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-(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sub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)2</m:t>
                </m:r>
              </m:e>
            </m:nary>
          </m:den>
        </m:f>
      </m:oMath>
    </w:p>
    <w:p w:rsidR="00B16FC0" w:rsidRPr="006358C3" w:rsidRDefault="00B16FC0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y </m:t>
                </m:r>
              </m:e>
            </m:nary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-b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n </m:t>
            </m:r>
          </m:den>
        </m:f>
      </m:oMath>
    </w:p>
    <w:p w:rsidR="00B16FC0" w:rsidRPr="006358C3" w:rsidRDefault="00B16FC0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keterangan</w:t>
      </w:r>
      <w:proofErr w:type="spellEnd"/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16FC0" w:rsidRPr="006358C3" w:rsidRDefault="00B16FC0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Y = variable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terikat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diproyeksikan</w:t>
      </w:r>
      <w:proofErr w:type="spellEnd"/>
    </w:p>
    <w:p w:rsidR="00B16FC0" w:rsidRPr="006358C3" w:rsidRDefault="00B16FC0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X = variable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bebas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tertentu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diprediksikan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6FC0" w:rsidRPr="006358C3" w:rsidRDefault="00B16FC0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  =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konstan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harga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jika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X = 0</w:t>
      </w:r>
    </w:p>
    <w:p w:rsidR="00B16FC0" w:rsidRPr="006358C3" w:rsidRDefault="007D1FB7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1276" w:hanging="556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b  </w:t>
      </w:r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>=</w:t>
      </w:r>
      <w:proofErr w:type="gramEnd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>arah</w:t>
      </w:r>
      <w:proofErr w:type="spellEnd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>penentu</w:t>
      </w:r>
      <w:proofErr w:type="spellEnd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>menunjukan</w:t>
      </w:r>
      <w:proofErr w:type="spellEnd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>peningkatan</w:t>
      </w:r>
      <w:proofErr w:type="spellEnd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(+) </w:t>
      </w:r>
      <w:proofErr w:type="spellStart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>penurunan</w:t>
      </w:r>
      <w:proofErr w:type="spellEnd"/>
      <w:r w:rsidR="00B16FC0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>(-) variable Y.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7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lastRenderedPageBreak/>
        <w:t>Koefisien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Product Moment</w:t>
      </w:r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Cara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tidaknya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kecilnya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="00807653"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751D6F" w:rsidRPr="006358C3" w:rsidRDefault="000B2415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xy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N . 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xy -</m:t>
                </m:r>
              </m:e>
            </m:nary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 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x) </m:t>
                </m:r>
              </m:e>
            </m:nary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y)</m:t>
                </m:r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N.  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sub>
                      <m:sup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 xml:space="preserve">2 </m:t>
                        </m:r>
                      </m:e>
                    </m:nary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-(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sub>
                      <m:sup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)2</m:t>
                        </m:r>
                      </m:e>
                    </m:nary>
                  </m:e>
                </m:d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 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N. 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</m:t>
                    </m:r>
                  </m:sub>
                  <m:sup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nary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-(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y</m:t>
                    </m:r>
                  </m:sub>
                  <m:sup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)2</m:t>
                    </m:r>
                  </m:e>
                </m:nary>
              </m:e>
            </m:d>
          </m:den>
        </m:f>
      </m:oMath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Keterangan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751D6F" w:rsidRPr="006358C3" w:rsidRDefault="00251BBE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xy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D8A" w:rsidRPr="006358C3">
        <w:rPr>
          <w:rFonts w:ascii="Times New Roman" w:hAnsi="Times New Roman"/>
          <w:color w:val="000000" w:themeColor="text1"/>
          <w:sz w:val="24"/>
          <w:szCs w:val="24"/>
        </w:rPr>
        <w:tab/>
        <w:t xml:space="preserve">=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Angka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indeks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956D8A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= </w:t>
      </w:r>
      <w:proofErr w:type="spellStart"/>
      <w:proofErr w:type="gramStart"/>
      <w:r w:rsidR="00956D8A"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956D8A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sampel</w:t>
      </w:r>
      <w:proofErr w:type="spellEnd"/>
      <w:proofErr w:type="gramEnd"/>
    </w:p>
    <w:p w:rsidR="00751D6F" w:rsidRPr="006358C3" w:rsidRDefault="00251BBE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xy</m:t>
            </m:r>
          </m:e>
        </m:nary>
      </m:oMath>
      <w:r w:rsidR="00956D8A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=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perkalian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skor X dan akor Y</w:t>
      </w:r>
    </w:p>
    <w:p w:rsidR="00751D6F" w:rsidRPr="006358C3" w:rsidRDefault="00251BBE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nary>
      </m:oMath>
      <w:r w:rsidR="00956D8A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956D8A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seluruh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X</w:t>
      </w:r>
    </w:p>
    <w:p w:rsidR="00751D6F" w:rsidRPr="006358C3" w:rsidRDefault="00251BBE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y</m:t>
            </m:r>
          </m:e>
        </m:nary>
      </m:oMath>
      <w:r w:rsidR="00956D8A" w:rsidRPr="006358C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=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seluruh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="00751D6F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</w:t>
      </w:r>
    </w:p>
    <w:p w:rsidR="00751D6F" w:rsidRPr="006358C3" w:rsidRDefault="00751D6F" w:rsidP="00F21578">
      <w:pPr>
        <w:widowControl w:val="0"/>
        <w:shd w:val="clear" w:color="auto" w:fill="FFFFFF" w:themeFill="background1"/>
        <w:autoSpaceDE w:val="0"/>
        <w:spacing w:after="0"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melihat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dirumuskan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751D6F" w:rsidRPr="006358C3" w:rsidRDefault="00751D6F" w:rsidP="006358C3">
      <w:pPr>
        <w:pStyle w:val="ListParagraph"/>
        <w:widowControl w:val="0"/>
        <w:numPr>
          <w:ilvl w:val="0"/>
          <w:numId w:val="8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r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artinya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kenaikan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diikuti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lainnya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8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r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negatif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negatif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artinya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menurunnya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diikuti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meningkatnya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lainnya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1D6F" w:rsidRPr="006358C3" w:rsidRDefault="00751D6F" w:rsidP="006358C3">
      <w:pPr>
        <w:pStyle w:val="ListParagraph"/>
        <w:widowControl w:val="0"/>
        <w:numPr>
          <w:ilvl w:val="0"/>
          <w:numId w:val="8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r yang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</w:t>
      </w:r>
      <w:bookmarkStart w:id="0" w:name="_GoBack"/>
      <w:bookmarkEnd w:id="0"/>
      <w:r w:rsidRPr="006358C3">
        <w:rPr>
          <w:rFonts w:ascii="Times New Roman" w:hAnsi="Times New Roman"/>
          <w:color w:val="000000" w:themeColor="text1"/>
          <w:sz w:val="24"/>
          <w:szCs w:val="24"/>
        </w:rPr>
        <w:t>ma</w:t>
      </w:r>
      <w:proofErr w:type="spellEnd"/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nol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menunjukkan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dua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artinya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tetap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meskipun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lainnya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berubah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1D5F" w:rsidRDefault="004E1D5F" w:rsidP="00F21578">
      <w:pPr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1D6F" w:rsidRPr="006358C3" w:rsidRDefault="00751D6F" w:rsidP="00F21578">
      <w:pPr>
        <w:widowControl w:val="0"/>
        <w:shd w:val="clear" w:color="auto" w:fill="FFFFFF" w:themeFill="background1"/>
        <w:autoSpaceDE w:val="0"/>
        <w:spacing w:after="0"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lastRenderedPageBreak/>
        <w:t>Interprestasi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menurut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ukuran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konservatif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1D6F" w:rsidRPr="006358C3" w:rsidRDefault="00751D6F" w:rsidP="00DC2995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Tabel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</w:t>
      </w:r>
    </w:p>
    <w:p w:rsidR="00751D6F" w:rsidRPr="006358C3" w:rsidRDefault="00751D6F" w:rsidP="006358C3">
      <w:pPr>
        <w:widowControl w:val="0"/>
        <w:shd w:val="clear" w:color="auto" w:fill="FFFFFF" w:themeFill="background1"/>
        <w:autoSpaceDE w:val="0"/>
        <w:spacing w:after="0" w:line="48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Pedoman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memberikan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interpretasi</w:t>
      </w:r>
      <w:proofErr w:type="spellEnd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koefisien</w:t>
      </w:r>
      <w:proofErr w:type="spellEnd"/>
    </w:p>
    <w:tbl>
      <w:tblPr>
        <w:tblW w:w="59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44"/>
      </w:tblGrid>
      <w:tr w:rsidR="006358C3" w:rsidRPr="00DC2995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1D6F" w:rsidRPr="00DC2995" w:rsidRDefault="00751D6F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Interval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1D6F" w:rsidRPr="00DC2995" w:rsidRDefault="00DC2995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Koef</w:t>
            </w:r>
            <w:r w:rsidR="00751D6F"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isien</w:t>
            </w:r>
            <w:proofErr w:type="spellEnd"/>
            <w:r w:rsidR="00751D6F"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Tingkat </w:t>
            </w:r>
            <w:proofErr w:type="spellStart"/>
            <w:r w:rsidR="00751D6F"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Hubungan</w:t>
            </w:r>
            <w:proofErr w:type="spellEnd"/>
          </w:p>
        </w:tc>
      </w:tr>
      <w:tr w:rsidR="006358C3" w:rsidRPr="00DC2995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DC2995" w:rsidRDefault="00956D8A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0.00 – 0.19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DC2995" w:rsidRDefault="00956D8A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rendah</w:t>
            </w:r>
            <w:proofErr w:type="spellEnd"/>
          </w:p>
        </w:tc>
      </w:tr>
      <w:tr w:rsidR="006358C3" w:rsidRPr="00DC2995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DC2995" w:rsidRDefault="00956D8A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0.20 – 0.39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DC2995" w:rsidRDefault="00956D8A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Rendah</w:t>
            </w:r>
            <w:proofErr w:type="spellEnd"/>
          </w:p>
        </w:tc>
      </w:tr>
      <w:tr w:rsidR="006358C3" w:rsidRPr="00DC2995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DC2995" w:rsidRDefault="00956D8A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0.40 – 0.59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DC2995" w:rsidRDefault="00956D8A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Sedang</w:t>
            </w:r>
            <w:proofErr w:type="spellEnd"/>
          </w:p>
        </w:tc>
      </w:tr>
      <w:tr w:rsidR="006358C3" w:rsidRPr="00DC2995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DC2995" w:rsidRDefault="00956D8A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0.60 – 0.79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DC2995" w:rsidRDefault="00956D8A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Kuat</w:t>
            </w:r>
            <w:proofErr w:type="spellEnd"/>
          </w:p>
        </w:tc>
      </w:tr>
      <w:tr w:rsidR="006358C3" w:rsidRPr="00DC2995" w:rsidTr="00DC2995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DC2995" w:rsidRDefault="00956D8A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0.80 – 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D8A" w:rsidRPr="00DC2995" w:rsidRDefault="00956D8A" w:rsidP="00DC2995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29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kuat</w:t>
            </w:r>
            <w:proofErr w:type="spellEnd"/>
            <w:r w:rsidR="00017AA5">
              <w:rPr>
                <w:rStyle w:val="FootnoteReferenc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footnoteReference w:id="5"/>
            </w:r>
          </w:p>
        </w:tc>
      </w:tr>
    </w:tbl>
    <w:p w:rsidR="00017AA5" w:rsidRDefault="00017AA5" w:rsidP="00017AA5">
      <w:pPr>
        <w:widowControl w:val="0"/>
        <w:shd w:val="clear" w:color="auto" w:fill="FFFFFF" w:themeFill="background1"/>
        <w:autoSpaceDE w:val="0"/>
        <w:spacing w:after="0" w:line="24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751D6F" w:rsidRPr="006358C3" w:rsidRDefault="00751D6F" w:rsidP="00F21578">
      <w:pPr>
        <w:widowControl w:val="0"/>
        <w:shd w:val="clear" w:color="auto" w:fill="FFFFFF" w:themeFill="background1"/>
        <w:autoSpaceDE w:val="0"/>
        <w:spacing w:after="0"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r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kita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melihat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langsung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menguji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apakah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r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kita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peroleh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mencantumkan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batas-batas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r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signifikan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tertentu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dalan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hal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signifikan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5%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bila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r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signifikan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artinya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hipotesa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alternatif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diterima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A5082A" w:rsidRPr="006358C3" w:rsidRDefault="00751D6F" w:rsidP="006358C3">
      <w:pPr>
        <w:pStyle w:val="ListParagraph"/>
        <w:widowControl w:val="0"/>
        <w:numPr>
          <w:ilvl w:val="0"/>
          <w:numId w:val="7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Koefisien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determinan</w:t>
      </w:r>
      <w:proofErr w:type="spellEnd"/>
    </w:p>
    <w:p w:rsidR="00A5082A" w:rsidRPr="006358C3" w:rsidRDefault="00A5082A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Koefisien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determinasi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seberapa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persentase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ditimbulkan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bebas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terikat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5082A" w:rsidRPr="006358C3" w:rsidRDefault="00A5082A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b/>
          <w:bCs/>
          <w:color w:val="000000" w:themeColor="text1"/>
          <w:sz w:val="24"/>
          <w:szCs w:val="24"/>
        </w:rPr>
        <w:t>D = (r2) x 100%</w:t>
      </w:r>
    </w:p>
    <w:p w:rsidR="00A5082A" w:rsidRPr="006358C3" w:rsidRDefault="00A5082A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Keterangan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A5082A" w:rsidRPr="006358C3" w:rsidRDefault="00A5082A" w:rsidP="006358C3">
      <w:pPr>
        <w:shd w:val="clear" w:color="auto" w:fill="FFFFFF" w:themeFill="background1"/>
        <w:spacing w:after="0" w:line="48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Koefisien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determinasi</w:t>
      </w:r>
      <w:proofErr w:type="spellEnd"/>
    </w:p>
    <w:p w:rsidR="00A5082A" w:rsidRDefault="00A5082A" w:rsidP="006358C3">
      <w:pPr>
        <w:shd w:val="clear" w:color="auto" w:fill="FFFFFF" w:themeFill="background1"/>
        <w:spacing w:after="0" w:line="48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Koefisien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product moment</w:t>
      </w:r>
    </w:p>
    <w:p w:rsidR="00A5082A" w:rsidRPr="006358C3" w:rsidRDefault="00A5082A" w:rsidP="006358C3">
      <w:pPr>
        <w:pStyle w:val="ListParagraph"/>
        <w:widowControl w:val="0"/>
        <w:numPr>
          <w:ilvl w:val="0"/>
          <w:numId w:val="7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lastRenderedPageBreak/>
        <w:t>Pengujian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</w:p>
    <w:p w:rsidR="00A5082A" w:rsidRPr="006358C3" w:rsidRDefault="00A5082A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Pengujian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rumus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1D6F" w:rsidRPr="006358C3" w:rsidRDefault="00A5082A" w:rsidP="006358C3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hitung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r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A5082A" w:rsidRPr="006358C3" w:rsidRDefault="00A5082A" w:rsidP="006358C3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keterangan</w:t>
      </w:r>
      <w:proofErr w:type="spellEnd"/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5082A" w:rsidRPr="006358C3" w:rsidRDefault="00A5082A" w:rsidP="006358C3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=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</w:p>
    <w:p w:rsidR="00A5082A" w:rsidRPr="006358C3" w:rsidRDefault="00A5082A" w:rsidP="006358C3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r =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koefisien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product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momen</w:t>
      </w:r>
      <w:proofErr w:type="spellEnd"/>
    </w:p>
    <w:p w:rsidR="00A5082A" w:rsidRPr="006358C3" w:rsidRDefault="00A5082A" w:rsidP="006358C3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n =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jumlah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</w:p>
    <w:p w:rsidR="00A5082A" w:rsidRPr="006358C3" w:rsidRDefault="00A5082A" w:rsidP="006358C3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I =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konstanta</w:t>
      </w:r>
      <w:proofErr w:type="spellEnd"/>
    </w:p>
    <w:p w:rsidR="00A5082A" w:rsidRPr="006358C3" w:rsidRDefault="00A5082A" w:rsidP="006358C3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Kriteria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A5082A" w:rsidRPr="006358C3" w:rsidRDefault="00A5082A" w:rsidP="006358C3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Jika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&gt; </w:t>
      </w:r>
      <w:proofErr w:type="spellStart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49417E"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tabel</w:t>
      </w:r>
      <w:proofErr w:type="spellEnd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α = 0</w:t>
      </w:r>
      <w:proofErr w:type="gramStart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>,05</w:t>
      </w:r>
      <w:proofErr w:type="gramEnd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>dk</w:t>
      </w:r>
      <w:proofErr w:type="spellEnd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=k-2, </w:t>
      </w:r>
      <w:proofErr w:type="spellStart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>tolah</w:t>
      </w:r>
      <w:proofErr w:type="spellEnd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H</w:t>
      </w:r>
      <w:r w:rsidR="0049417E"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0 </w:t>
      </w:r>
      <w:proofErr w:type="spellStart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 w:rsidR="0049417E"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H</w:t>
      </w:r>
      <w:r w:rsidR="0049417E"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i</w:t>
      </w:r>
    </w:p>
    <w:p w:rsidR="0049417E" w:rsidRPr="006358C3" w:rsidRDefault="0049417E" w:rsidP="006358C3">
      <w:pPr>
        <w:pStyle w:val="ListParagraph"/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bscript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Jika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hitung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&lt;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tabel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α = 0</w:t>
      </w:r>
      <w:proofErr w:type="gramStart"/>
      <w:r w:rsidRPr="006358C3">
        <w:rPr>
          <w:rFonts w:ascii="Times New Roman" w:hAnsi="Times New Roman"/>
          <w:color w:val="000000" w:themeColor="text1"/>
          <w:sz w:val="24"/>
          <w:szCs w:val="24"/>
        </w:rPr>
        <w:t>,05</w:t>
      </w:r>
      <w:proofErr w:type="gram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dk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=k-2,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tolah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H</w:t>
      </w:r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i</w:t>
      </w:r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H</w:t>
      </w:r>
      <w:r w:rsidRPr="006358C3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0</w:t>
      </w:r>
    </w:p>
    <w:p w:rsidR="0049417E" w:rsidRPr="006358C3" w:rsidRDefault="0049417E" w:rsidP="006358C3">
      <w:pPr>
        <w:pStyle w:val="ListParagraph"/>
        <w:widowControl w:val="0"/>
        <w:numPr>
          <w:ilvl w:val="0"/>
          <w:numId w:val="1"/>
        </w:numPr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Kisi-Kisi </w:t>
      </w:r>
      <w:proofErr w:type="spellStart"/>
      <w:r w:rsidRPr="006358C3">
        <w:rPr>
          <w:rFonts w:ascii="Times New Roman" w:hAnsi="Times New Roman"/>
          <w:b/>
          <w:color w:val="000000" w:themeColor="text1"/>
          <w:sz w:val="24"/>
          <w:szCs w:val="24"/>
        </w:rPr>
        <w:t>Instrumen</w:t>
      </w:r>
      <w:proofErr w:type="spellEnd"/>
    </w:p>
    <w:p w:rsidR="0049417E" w:rsidRDefault="0049417E" w:rsidP="006358C3">
      <w:pPr>
        <w:widowControl w:val="0"/>
        <w:shd w:val="clear" w:color="auto" w:fill="FFFFFF" w:themeFill="background1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Adapun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kisi-kisi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instrumen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hubungan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budaya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organisasi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kinerja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guru di Madrasah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Tsanawiyah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(MTs)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Bahrul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Mubarak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Toronipa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Kecamatan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Soropia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Konawe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berupa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angket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dibuat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item-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itemnya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sebagaimana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diuraikan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 xml:space="preserve"> table </w:t>
      </w:r>
      <w:proofErr w:type="spellStart"/>
      <w:r w:rsidRPr="006358C3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Pr="006358C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41DB" w:rsidRDefault="001141DB" w:rsidP="001141D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Table 2</w:t>
      </w:r>
    </w:p>
    <w:p w:rsidR="001141DB" w:rsidRPr="001141DB" w:rsidRDefault="001141DB" w:rsidP="001141DB">
      <w:pPr>
        <w:widowControl w:val="0"/>
        <w:shd w:val="clear" w:color="auto" w:fill="FFFFFF" w:themeFill="background1"/>
        <w:autoSpaceDE w:val="0"/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Kisi </w:t>
      </w:r>
      <w:proofErr w:type="spellStart"/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>Kisi</w:t>
      </w:r>
      <w:proofErr w:type="spellEnd"/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>Instumen</w:t>
      </w:r>
      <w:proofErr w:type="spellEnd"/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>Budaya</w:t>
      </w:r>
      <w:proofErr w:type="spellEnd"/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>Organisasi</w:t>
      </w:r>
      <w:proofErr w:type="spellEnd"/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>Kinerja</w:t>
      </w:r>
      <w:proofErr w:type="spellEnd"/>
      <w:r w:rsidRPr="001141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Guru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842"/>
        <w:gridCol w:w="3969"/>
        <w:gridCol w:w="1008"/>
      </w:tblGrid>
      <w:tr w:rsidR="006358C3" w:rsidRPr="006358C3" w:rsidTr="001141DB">
        <w:tc>
          <w:tcPr>
            <w:tcW w:w="426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Sub variable</w:t>
            </w:r>
          </w:p>
        </w:tc>
        <w:tc>
          <w:tcPr>
            <w:tcW w:w="3969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item</w:t>
            </w:r>
          </w:p>
        </w:tc>
      </w:tr>
      <w:tr w:rsidR="006358C3" w:rsidRPr="006358C3" w:rsidTr="001141DB">
        <w:tc>
          <w:tcPr>
            <w:tcW w:w="426" w:type="dxa"/>
            <w:vMerge w:val="restart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Budaya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Inisiatif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Kebebasan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mengeluarkan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1,2,3</w:t>
            </w:r>
          </w:p>
        </w:tc>
      </w:tr>
      <w:tr w:rsidR="006358C3" w:rsidRPr="006358C3" w:rsidTr="001141DB">
        <w:tc>
          <w:tcPr>
            <w:tcW w:w="426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Pengarahan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Pengarahan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menjalankan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6358C3" w:rsidRPr="006358C3" w:rsidTr="001141DB">
        <w:tc>
          <w:tcPr>
            <w:tcW w:w="426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Integrasi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Bekerjasama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cara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terkordinir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6,7</w:t>
            </w:r>
          </w:p>
        </w:tc>
      </w:tr>
      <w:tr w:rsidR="006358C3" w:rsidRPr="006358C3" w:rsidTr="001141DB">
        <w:tc>
          <w:tcPr>
            <w:tcW w:w="426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Dukungan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Dukungan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kepala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sekolah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untuk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menjalankan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8,9</w:t>
            </w:r>
          </w:p>
        </w:tc>
      </w:tr>
      <w:tr w:rsidR="006358C3" w:rsidRPr="006358C3" w:rsidTr="001141DB">
        <w:tc>
          <w:tcPr>
            <w:tcW w:w="426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Kontrol</w:t>
            </w:r>
            <w:proofErr w:type="spellEnd"/>
            <w:r w:rsidR="00E01C34"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1C34"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kepala</w:t>
            </w:r>
            <w:proofErr w:type="spellEnd"/>
            <w:r w:rsidR="00E01C34"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1C34"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sekolah</w:t>
            </w:r>
            <w:proofErr w:type="spellEnd"/>
            <w:r w:rsidR="00E01C34"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1C34"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="00E01C34"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1C34"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menjalankan</w:t>
            </w:r>
            <w:proofErr w:type="spellEnd"/>
            <w:r w:rsidR="00E01C34"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1C34"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10,11,12</w:t>
            </w:r>
          </w:p>
        </w:tc>
      </w:tr>
      <w:tr w:rsidR="006358C3" w:rsidRPr="006358C3" w:rsidTr="001141DB">
        <w:tc>
          <w:tcPr>
            <w:tcW w:w="426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Pola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Komunikasi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menjalankan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13,14,15</w:t>
            </w:r>
          </w:p>
        </w:tc>
      </w:tr>
      <w:tr w:rsidR="006358C3" w:rsidRPr="006358C3" w:rsidTr="001141DB">
        <w:tc>
          <w:tcPr>
            <w:tcW w:w="426" w:type="dxa"/>
            <w:vMerge w:val="restart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Kinerja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guru</w:t>
            </w: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Merencanakan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membuat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perencanaan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persiapan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mengajar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1,2,3</w:t>
            </w:r>
          </w:p>
        </w:tc>
      </w:tr>
      <w:tr w:rsidR="006358C3" w:rsidRPr="006358C3" w:rsidTr="001141DB">
        <w:tc>
          <w:tcPr>
            <w:tcW w:w="426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Penguasaan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Penguasaan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diajarkan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6358C3" w:rsidRPr="006358C3" w:rsidTr="001141DB">
        <w:tc>
          <w:tcPr>
            <w:tcW w:w="426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Penguasaan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Penguasaan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strategi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mengajar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6,7</w:t>
            </w:r>
          </w:p>
        </w:tc>
      </w:tr>
      <w:tr w:rsidR="006358C3" w:rsidRPr="006358C3" w:rsidTr="001141DB">
        <w:tc>
          <w:tcPr>
            <w:tcW w:w="426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Pemberian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Pemberian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kepada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8,9</w:t>
            </w:r>
          </w:p>
        </w:tc>
      </w:tr>
      <w:tr w:rsidR="006358C3" w:rsidRPr="006358C3" w:rsidTr="001141DB">
        <w:tc>
          <w:tcPr>
            <w:tcW w:w="426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Mengelola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mengelola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kelas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10,11</w:t>
            </w:r>
          </w:p>
        </w:tc>
      </w:tr>
      <w:tr w:rsidR="006358C3" w:rsidRPr="006358C3" w:rsidTr="001141DB">
        <w:trPr>
          <w:trHeight w:val="837"/>
        </w:trPr>
        <w:tc>
          <w:tcPr>
            <w:tcW w:w="426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mengevaluasi</w:t>
            </w:r>
            <w:proofErr w:type="spellEnd"/>
          </w:p>
        </w:tc>
        <w:tc>
          <w:tcPr>
            <w:tcW w:w="3969" w:type="dxa"/>
            <w:vAlign w:val="bottom"/>
          </w:tcPr>
          <w:p w:rsidR="00E01C34" w:rsidRPr="006358C3" w:rsidRDefault="00E01C34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penilaian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1008" w:type="dxa"/>
            <w:vAlign w:val="center"/>
          </w:tcPr>
          <w:p w:rsidR="00E01C34" w:rsidRPr="006358C3" w:rsidRDefault="00216FFB" w:rsidP="001141DB">
            <w:pPr>
              <w:widowControl w:val="0"/>
              <w:shd w:val="clear" w:color="auto" w:fill="FFFFFF" w:themeFill="background1"/>
              <w:autoSpaceDE w:val="0"/>
              <w:spacing w:line="360" w:lineRule="auto"/>
              <w:ind w:left="-108" w:right="-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8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12,13,14,15</w:t>
            </w:r>
          </w:p>
        </w:tc>
      </w:tr>
    </w:tbl>
    <w:p w:rsidR="0049417E" w:rsidRPr="006358C3" w:rsidRDefault="0049417E" w:rsidP="006358C3">
      <w:pPr>
        <w:widowControl w:val="0"/>
        <w:shd w:val="clear" w:color="auto" w:fill="FFFFFF" w:themeFill="background1"/>
        <w:autoSpaceDE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41F7" w:rsidRPr="006358C3" w:rsidRDefault="002941F7" w:rsidP="006358C3">
      <w:pPr>
        <w:shd w:val="clear" w:color="auto" w:fill="FFFFFF" w:themeFill="background1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941F7" w:rsidRPr="006358C3" w:rsidSect="009A581B">
      <w:head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2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BE" w:rsidRDefault="00251BBE" w:rsidP="00AE506F">
      <w:pPr>
        <w:spacing w:after="0" w:line="240" w:lineRule="auto"/>
      </w:pPr>
      <w:r>
        <w:separator/>
      </w:r>
    </w:p>
  </w:endnote>
  <w:endnote w:type="continuationSeparator" w:id="0">
    <w:p w:rsidR="00251BBE" w:rsidRDefault="00251BBE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41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81B" w:rsidRDefault="009A5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AA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A581B" w:rsidRDefault="009A5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BE" w:rsidRDefault="00251BBE" w:rsidP="00AE506F">
      <w:pPr>
        <w:spacing w:after="0" w:line="240" w:lineRule="auto"/>
      </w:pPr>
      <w:r>
        <w:separator/>
      </w:r>
    </w:p>
  </w:footnote>
  <w:footnote w:type="continuationSeparator" w:id="0">
    <w:p w:rsidR="00251BBE" w:rsidRDefault="00251BBE" w:rsidP="00AE506F">
      <w:pPr>
        <w:spacing w:after="0" w:line="240" w:lineRule="auto"/>
      </w:pPr>
      <w:r>
        <w:continuationSeparator/>
      </w:r>
    </w:p>
  </w:footnote>
  <w:footnote w:id="1">
    <w:p w:rsidR="00AE506F" w:rsidRPr="00017AA5" w:rsidRDefault="00AE506F" w:rsidP="00017AA5">
      <w:pPr>
        <w:pStyle w:val="FootnoteText"/>
        <w:shd w:val="clear" w:color="auto" w:fill="FFFFFF" w:themeFill="background1"/>
        <w:spacing w:before="240"/>
        <w:ind w:firstLine="1134"/>
        <w:jc w:val="both"/>
        <w:rPr>
          <w:rFonts w:ascii="Times New Roman" w:hAnsi="Times New Roman"/>
          <w:color w:val="000000" w:themeColor="text1"/>
        </w:rPr>
      </w:pPr>
      <w:r w:rsidRPr="00017AA5">
        <w:rPr>
          <w:rStyle w:val="FootnoteReference"/>
          <w:rFonts w:ascii="Times New Roman" w:hAnsi="Times New Roman"/>
          <w:color w:val="000000" w:themeColor="text1"/>
        </w:rPr>
        <w:footnoteRef/>
      </w:r>
      <w:r w:rsidR="00206B1C" w:rsidRPr="00017AA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Sugiyono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>,</w:t>
      </w:r>
      <w:r w:rsidR="00206B1C" w:rsidRPr="00017AA5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i/>
          <w:iCs/>
          <w:color w:val="000000" w:themeColor="text1"/>
        </w:rPr>
        <w:t>Metode</w:t>
      </w:r>
      <w:proofErr w:type="spellEnd"/>
      <w:r w:rsidR="00206B1C" w:rsidRPr="00017AA5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i/>
          <w:iCs/>
          <w:color w:val="000000" w:themeColor="text1"/>
        </w:rPr>
        <w:t>Penelitian</w:t>
      </w:r>
      <w:proofErr w:type="spellEnd"/>
      <w:r w:rsidR="00206B1C" w:rsidRPr="00017AA5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i/>
          <w:iCs/>
          <w:color w:val="000000" w:themeColor="text1"/>
        </w:rPr>
        <w:t>Kuantitatif</w:t>
      </w:r>
      <w:proofErr w:type="spellEnd"/>
      <w:r w:rsidR="00206B1C" w:rsidRPr="00017AA5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i/>
          <w:iCs/>
          <w:color w:val="000000" w:themeColor="text1"/>
        </w:rPr>
        <w:t>Kualitatif</w:t>
      </w:r>
      <w:proofErr w:type="spellEnd"/>
      <w:r w:rsidR="00206B1C" w:rsidRPr="00017AA5">
        <w:rPr>
          <w:rFonts w:ascii="Times New Roman" w:hAnsi="Times New Roman"/>
          <w:i/>
          <w:iCs/>
          <w:color w:val="000000" w:themeColor="text1"/>
        </w:rPr>
        <w:t xml:space="preserve"> Dan R Dan D, </w:t>
      </w:r>
      <w:r w:rsidR="00206B1C" w:rsidRPr="00017AA5">
        <w:rPr>
          <w:rFonts w:ascii="Times New Roman" w:hAnsi="Times New Roman"/>
          <w:color w:val="000000" w:themeColor="text1"/>
        </w:rPr>
        <w:t xml:space="preserve">Bandung: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Alfabeta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 Bandung,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Tahun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 2008. </w:t>
      </w:r>
      <w:proofErr w:type="gramStart"/>
      <w:r w:rsidR="00206B1C" w:rsidRPr="00017AA5">
        <w:rPr>
          <w:rFonts w:ascii="Times New Roman" w:hAnsi="Times New Roman"/>
          <w:color w:val="000000" w:themeColor="text1"/>
        </w:rPr>
        <w:t>Hal 80.</w:t>
      </w:r>
      <w:proofErr w:type="gramEnd"/>
    </w:p>
  </w:footnote>
  <w:footnote w:id="2">
    <w:p w:rsidR="00AE506F" w:rsidRPr="00017AA5" w:rsidRDefault="00AE506F" w:rsidP="00017AA5">
      <w:pPr>
        <w:pStyle w:val="FootnoteText"/>
        <w:shd w:val="clear" w:color="auto" w:fill="FFFFFF" w:themeFill="background1"/>
        <w:spacing w:before="240"/>
        <w:ind w:firstLine="1134"/>
        <w:jc w:val="both"/>
        <w:rPr>
          <w:rFonts w:ascii="Times New Roman" w:hAnsi="Times New Roman"/>
          <w:color w:val="000000" w:themeColor="text1"/>
        </w:rPr>
      </w:pPr>
      <w:r w:rsidRPr="00017AA5">
        <w:rPr>
          <w:rStyle w:val="FootnoteReference"/>
          <w:rFonts w:ascii="Times New Roman" w:hAnsi="Times New Roman"/>
          <w:color w:val="000000" w:themeColor="text1"/>
        </w:rPr>
        <w:footnoteRef/>
      </w:r>
      <w:r w:rsidR="00206B1C" w:rsidRPr="00017AA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Sugiyono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206B1C" w:rsidRPr="00017AA5">
        <w:rPr>
          <w:rFonts w:ascii="Times New Roman" w:hAnsi="Times New Roman"/>
          <w:i/>
          <w:iCs/>
          <w:color w:val="000000" w:themeColor="text1"/>
        </w:rPr>
        <w:t>Metode</w:t>
      </w:r>
      <w:proofErr w:type="spellEnd"/>
      <w:r w:rsidR="00206B1C" w:rsidRPr="00017AA5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i/>
          <w:iCs/>
          <w:color w:val="000000" w:themeColor="text1"/>
        </w:rPr>
        <w:t>Penelitian</w:t>
      </w:r>
      <w:proofErr w:type="spellEnd"/>
      <w:r w:rsidR="00206B1C" w:rsidRPr="00017AA5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i/>
          <w:iCs/>
          <w:color w:val="000000" w:themeColor="text1"/>
        </w:rPr>
        <w:t>Administrasi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. Bandung: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Alfabeta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Tahun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 2005. Hal 96</w:t>
      </w:r>
    </w:p>
  </w:footnote>
  <w:footnote w:id="3">
    <w:p w:rsidR="00AE506F" w:rsidRPr="00017AA5" w:rsidRDefault="00AE506F" w:rsidP="00017AA5">
      <w:pPr>
        <w:pStyle w:val="FootnoteText"/>
        <w:shd w:val="clear" w:color="auto" w:fill="FFFFFF" w:themeFill="background1"/>
        <w:spacing w:before="240"/>
        <w:ind w:firstLine="1134"/>
        <w:jc w:val="both"/>
        <w:rPr>
          <w:rFonts w:ascii="Times New Roman" w:hAnsi="Times New Roman"/>
          <w:color w:val="000000" w:themeColor="text1"/>
        </w:rPr>
      </w:pPr>
      <w:r w:rsidRPr="00017AA5">
        <w:rPr>
          <w:rStyle w:val="FootnoteReference"/>
          <w:rFonts w:ascii="Times New Roman" w:hAnsi="Times New Roman"/>
          <w:color w:val="000000" w:themeColor="text1"/>
        </w:rPr>
        <w:footnoteRef/>
      </w:r>
      <w:r w:rsidR="00206B1C" w:rsidRPr="00017AA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Suharsimi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Arikunto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>,</w:t>
      </w:r>
      <w:r w:rsidR="00206B1C" w:rsidRPr="00017AA5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i/>
          <w:iCs/>
          <w:color w:val="000000" w:themeColor="text1"/>
        </w:rPr>
        <w:t>Manajemen</w:t>
      </w:r>
      <w:proofErr w:type="spellEnd"/>
      <w:r w:rsidR="00206B1C" w:rsidRPr="00017AA5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i/>
          <w:iCs/>
          <w:color w:val="000000" w:themeColor="text1"/>
        </w:rPr>
        <w:t>Penelitian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, </w:t>
      </w:r>
      <w:proofErr w:type="spellStart"/>
      <w:proofErr w:type="gramStart"/>
      <w:r w:rsidR="00206B1C" w:rsidRPr="00017AA5">
        <w:rPr>
          <w:rFonts w:ascii="Times New Roman" w:hAnsi="Times New Roman"/>
          <w:color w:val="000000" w:themeColor="text1"/>
        </w:rPr>
        <w:t>Cet</w:t>
      </w:r>
      <w:proofErr w:type="spellEnd"/>
      <w:proofErr w:type="gramEnd"/>
      <w:r w:rsidR="00206B1C" w:rsidRPr="00017AA5">
        <w:rPr>
          <w:rFonts w:ascii="Times New Roman" w:hAnsi="Times New Roman"/>
          <w:color w:val="000000" w:themeColor="text1"/>
        </w:rPr>
        <w:t xml:space="preserve"> 5, Jakarta: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Rineka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Cipta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Tahun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 xml:space="preserve"> 2000. </w:t>
      </w:r>
      <w:proofErr w:type="gramStart"/>
      <w:r w:rsidR="00206B1C" w:rsidRPr="00017AA5">
        <w:rPr>
          <w:rFonts w:ascii="Times New Roman" w:hAnsi="Times New Roman"/>
          <w:color w:val="000000" w:themeColor="text1"/>
        </w:rPr>
        <w:t>Hal 326.</w:t>
      </w:r>
      <w:proofErr w:type="gramEnd"/>
    </w:p>
  </w:footnote>
  <w:footnote w:id="4">
    <w:p w:rsidR="00807653" w:rsidRPr="00017AA5" w:rsidRDefault="00807653" w:rsidP="00017AA5">
      <w:pPr>
        <w:pStyle w:val="FootnoteText"/>
        <w:shd w:val="clear" w:color="auto" w:fill="FFFFFF" w:themeFill="background1"/>
        <w:spacing w:before="240"/>
        <w:ind w:firstLine="1134"/>
        <w:jc w:val="both"/>
        <w:rPr>
          <w:rFonts w:ascii="Times New Roman" w:hAnsi="Times New Roman"/>
          <w:color w:val="000000" w:themeColor="text1"/>
        </w:rPr>
      </w:pPr>
      <w:r w:rsidRPr="00017AA5">
        <w:rPr>
          <w:rStyle w:val="FootnoteReference"/>
          <w:rFonts w:ascii="Times New Roman" w:hAnsi="Times New Roman"/>
          <w:color w:val="000000" w:themeColor="text1"/>
        </w:rPr>
        <w:footnoteRef/>
      </w:r>
      <w:r w:rsidR="00206B1C" w:rsidRPr="00017AA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06B1C" w:rsidRPr="00017AA5">
        <w:rPr>
          <w:rFonts w:ascii="Times New Roman" w:hAnsi="Times New Roman"/>
          <w:color w:val="000000" w:themeColor="text1"/>
        </w:rPr>
        <w:t>Sugiono</w:t>
      </w:r>
      <w:proofErr w:type="spellEnd"/>
      <w:r w:rsidR="00206B1C" w:rsidRPr="00017AA5">
        <w:rPr>
          <w:rFonts w:ascii="Times New Roman" w:hAnsi="Times New Roman"/>
          <w:color w:val="000000" w:themeColor="text1"/>
        </w:rPr>
        <w:t>, Ibid, Hal 108</w:t>
      </w:r>
    </w:p>
  </w:footnote>
  <w:footnote w:id="5">
    <w:p w:rsidR="00017AA5" w:rsidRPr="00017AA5" w:rsidRDefault="00017AA5" w:rsidP="00017AA5">
      <w:pPr>
        <w:pStyle w:val="FootnoteText"/>
        <w:ind w:firstLine="1134"/>
        <w:rPr>
          <w:rFonts w:ascii="Times New Roman" w:hAnsi="Times New Roman"/>
          <w:lang w:val="id-ID"/>
        </w:rPr>
      </w:pPr>
      <w:r w:rsidRPr="00017AA5">
        <w:rPr>
          <w:rStyle w:val="FootnoteReference"/>
          <w:rFonts w:ascii="Times New Roman" w:hAnsi="Times New Roman"/>
        </w:rPr>
        <w:footnoteRef/>
      </w:r>
      <w:r w:rsidRPr="00017AA5">
        <w:rPr>
          <w:rFonts w:ascii="Times New Roman" w:hAnsi="Times New Roman"/>
        </w:rPr>
        <w:t xml:space="preserve"> </w:t>
      </w:r>
      <w:proofErr w:type="spellStart"/>
      <w:r w:rsidRPr="00017AA5">
        <w:rPr>
          <w:rFonts w:ascii="Times New Roman" w:hAnsi="Times New Roman"/>
          <w:color w:val="000000" w:themeColor="text1"/>
        </w:rPr>
        <w:t>Sugiono</w:t>
      </w:r>
      <w:proofErr w:type="spellEnd"/>
      <w:r w:rsidRPr="00017AA5">
        <w:rPr>
          <w:rFonts w:ascii="Times New Roman" w:hAnsi="Times New Roman"/>
          <w:color w:val="000000" w:themeColor="text1"/>
        </w:rPr>
        <w:t xml:space="preserve">, Ibid, Hal </w:t>
      </w:r>
      <w:r w:rsidRPr="00017AA5">
        <w:rPr>
          <w:rFonts w:ascii="Times New Roman" w:hAnsi="Times New Roman"/>
          <w:color w:val="000000" w:themeColor="text1"/>
          <w:lang w:val="id-ID"/>
        </w:rPr>
        <w:t>213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22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81B" w:rsidRDefault="009A58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AA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C6D74" w:rsidRDefault="006C6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892"/>
    <w:multiLevelType w:val="multilevel"/>
    <w:tmpl w:val="0B5AC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4F23"/>
    <w:multiLevelType w:val="multilevel"/>
    <w:tmpl w:val="621EA75A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11C5B"/>
    <w:multiLevelType w:val="multilevel"/>
    <w:tmpl w:val="FC62F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83252"/>
    <w:multiLevelType w:val="multilevel"/>
    <w:tmpl w:val="489E482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220E10"/>
    <w:multiLevelType w:val="multilevel"/>
    <w:tmpl w:val="5F884F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51202"/>
    <w:multiLevelType w:val="multilevel"/>
    <w:tmpl w:val="33BC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01C88"/>
    <w:multiLevelType w:val="multilevel"/>
    <w:tmpl w:val="7B223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A4FDD"/>
    <w:multiLevelType w:val="multilevel"/>
    <w:tmpl w:val="4342C338"/>
    <w:lvl w:ilvl="0">
      <w:start w:val="1"/>
      <w:numFmt w:val="lowerLetter"/>
      <w:lvlText w:val="%1)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6F"/>
    <w:rsid w:val="00011216"/>
    <w:rsid w:val="00012B0F"/>
    <w:rsid w:val="00017AA5"/>
    <w:rsid w:val="00023948"/>
    <w:rsid w:val="00026DD3"/>
    <w:rsid w:val="00055F9E"/>
    <w:rsid w:val="00064FBA"/>
    <w:rsid w:val="00077FF1"/>
    <w:rsid w:val="00096D65"/>
    <w:rsid w:val="00097AF6"/>
    <w:rsid w:val="000B2415"/>
    <w:rsid w:val="000D0250"/>
    <w:rsid w:val="000D226C"/>
    <w:rsid w:val="000D585C"/>
    <w:rsid w:val="000D6C0E"/>
    <w:rsid w:val="000E160D"/>
    <w:rsid w:val="00100ADC"/>
    <w:rsid w:val="00103EBB"/>
    <w:rsid w:val="001141DB"/>
    <w:rsid w:val="00115F35"/>
    <w:rsid w:val="00116AAF"/>
    <w:rsid w:val="00127D06"/>
    <w:rsid w:val="00131493"/>
    <w:rsid w:val="00140300"/>
    <w:rsid w:val="001405EA"/>
    <w:rsid w:val="00143EAA"/>
    <w:rsid w:val="00147B5D"/>
    <w:rsid w:val="00173402"/>
    <w:rsid w:val="00182820"/>
    <w:rsid w:val="00186E86"/>
    <w:rsid w:val="00194789"/>
    <w:rsid w:val="001A18B8"/>
    <w:rsid w:val="001A5366"/>
    <w:rsid w:val="001B3061"/>
    <w:rsid w:val="001B3573"/>
    <w:rsid w:val="001C1F3E"/>
    <w:rsid w:val="001D0162"/>
    <w:rsid w:val="001D35DA"/>
    <w:rsid w:val="001D56FB"/>
    <w:rsid w:val="001E03D5"/>
    <w:rsid w:val="001E2ED7"/>
    <w:rsid w:val="001E3A24"/>
    <w:rsid w:val="002021FD"/>
    <w:rsid w:val="00206B1C"/>
    <w:rsid w:val="0021114E"/>
    <w:rsid w:val="00213650"/>
    <w:rsid w:val="00216FFB"/>
    <w:rsid w:val="002202E5"/>
    <w:rsid w:val="002307FD"/>
    <w:rsid w:val="002337E2"/>
    <w:rsid w:val="00241AAE"/>
    <w:rsid w:val="002438BC"/>
    <w:rsid w:val="00250238"/>
    <w:rsid w:val="00251BBE"/>
    <w:rsid w:val="00253F6E"/>
    <w:rsid w:val="002543B9"/>
    <w:rsid w:val="00261ED3"/>
    <w:rsid w:val="00270D1D"/>
    <w:rsid w:val="00283EB6"/>
    <w:rsid w:val="00284848"/>
    <w:rsid w:val="00284B7B"/>
    <w:rsid w:val="0028559F"/>
    <w:rsid w:val="00287EEB"/>
    <w:rsid w:val="002941F7"/>
    <w:rsid w:val="002958C4"/>
    <w:rsid w:val="002A36F7"/>
    <w:rsid w:val="002A4846"/>
    <w:rsid w:val="002A74D1"/>
    <w:rsid w:val="002B4260"/>
    <w:rsid w:val="002B5B77"/>
    <w:rsid w:val="002C448E"/>
    <w:rsid w:val="002D0C18"/>
    <w:rsid w:val="00301557"/>
    <w:rsid w:val="00311A6E"/>
    <w:rsid w:val="00313C40"/>
    <w:rsid w:val="0031436C"/>
    <w:rsid w:val="00321EBB"/>
    <w:rsid w:val="0032725A"/>
    <w:rsid w:val="0033691F"/>
    <w:rsid w:val="00343C43"/>
    <w:rsid w:val="0035345D"/>
    <w:rsid w:val="00356D88"/>
    <w:rsid w:val="00374152"/>
    <w:rsid w:val="00382431"/>
    <w:rsid w:val="003A659A"/>
    <w:rsid w:val="003A6DCF"/>
    <w:rsid w:val="003E2730"/>
    <w:rsid w:val="003E2ED5"/>
    <w:rsid w:val="003E5565"/>
    <w:rsid w:val="003F0614"/>
    <w:rsid w:val="0040681E"/>
    <w:rsid w:val="00424966"/>
    <w:rsid w:val="0043009D"/>
    <w:rsid w:val="00430405"/>
    <w:rsid w:val="00432648"/>
    <w:rsid w:val="00434D48"/>
    <w:rsid w:val="00436CAE"/>
    <w:rsid w:val="00451EF4"/>
    <w:rsid w:val="004572D2"/>
    <w:rsid w:val="00464E26"/>
    <w:rsid w:val="00471A72"/>
    <w:rsid w:val="00474689"/>
    <w:rsid w:val="00477437"/>
    <w:rsid w:val="00483409"/>
    <w:rsid w:val="00484BE9"/>
    <w:rsid w:val="0049417E"/>
    <w:rsid w:val="00496CC2"/>
    <w:rsid w:val="004C4882"/>
    <w:rsid w:val="004E1D5F"/>
    <w:rsid w:val="004E4ACA"/>
    <w:rsid w:val="004F3494"/>
    <w:rsid w:val="005059B0"/>
    <w:rsid w:val="005234F4"/>
    <w:rsid w:val="00527913"/>
    <w:rsid w:val="00533C9B"/>
    <w:rsid w:val="005676FD"/>
    <w:rsid w:val="00571016"/>
    <w:rsid w:val="005729F7"/>
    <w:rsid w:val="00587ADC"/>
    <w:rsid w:val="005931C9"/>
    <w:rsid w:val="005947A2"/>
    <w:rsid w:val="0059530A"/>
    <w:rsid w:val="005D1821"/>
    <w:rsid w:val="00601501"/>
    <w:rsid w:val="00606D57"/>
    <w:rsid w:val="00611A4A"/>
    <w:rsid w:val="0062639F"/>
    <w:rsid w:val="00632D10"/>
    <w:rsid w:val="006358C3"/>
    <w:rsid w:val="00646B91"/>
    <w:rsid w:val="00655AC6"/>
    <w:rsid w:val="006560DE"/>
    <w:rsid w:val="006636C9"/>
    <w:rsid w:val="006736EC"/>
    <w:rsid w:val="006822BB"/>
    <w:rsid w:val="00693448"/>
    <w:rsid w:val="006B3C03"/>
    <w:rsid w:val="006C3E0A"/>
    <w:rsid w:val="006C6D74"/>
    <w:rsid w:val="006D7CAE"/>
    <w:rsid w:val="006F256B"/>
    <w:rsid w:val="007073E7"/>
    <w:rsid w:val="0071248D"/>
    <w:rsid w:val="007155E5"/>
    <w:rsid w:val="00723239"/>
    <w:rsid w:val="00741EF6"/>
    <w:rsid w:val="007428AD"/>
    <w:rsid w:val="007513B8"/>
    <w:rsid w:val="00751D6F"/>
    <w:rsid w:val="00764EED"/>
    <w:rsid w:val="00784863"/>
    <w:rsid w:val="00787FBD"/>
    <w:rsid w:val="0079107E"/>
    <w:rsid w:val="00794352"/>
    <w:rsid w:val="007B5110"/>
    <w:rsid w:val="007D1FB7"/>
    <w:rsid w:val="007E1057"/>
    <w:rsid w:val="007F06BE"/>
    <w:rsid w:val="007F3508"/>
    <w:rsid w:val="008009D8"/>
    <w:rsid w:val="008017E1"/>
    <w:rsid w:val="00805C98"/>
    <w:rsid w:val="00807653"/>
    <w:rsid w:val="00810C6B"/>
    <w:rsid w:val="00811228"/>
    <w:rsid w:val="0083639D"/>
    <w:rsid w:val="008458F0"/>
    <w:rsid w:val="00852313"/>
    <w:rsid w:val="00852AE7"/>
    <w:rsid w:val="008537C0"/>
    <w:rsid w:val="0085532D"/>
    <w:rsid w:val="00856D63"/>
    <w:rsid w:val="00867C23"/>
    <w:rsid w:val="008747C5"/>
    <w:rsid w:val="0089588C"/>
    <w:rsid w:val="008A4492"/>
    <w:rsid w:val="008B1507"/>
    <w:rsid w:val="008B3104"/>
    <w:rsid w:val="008B690E"/>
    <w:rsid w:val="008C0E2E"/>
    <w:rsid w:val="008D0FE2"/>
    <w:rsid w:val="008E02F9"/>
    <w:rsid w:val="008E36A2"/>
    <w:rsid w:val="008E6016"/>
    <w:rsid w:val="008F1466"/>
    <w:rsid w:val="00906784"/>
    <w:rsid w:val="00907B8D"/>
    <w:rsid w:val="009243B6"/>
    <w:rsid w:val="009419A8"/>
    <w:rsid w:val="0095123C"/>
    <w:rsid w:val="00956D8A"/>
    <w:rsid w:val="009571D1"/>
    <w:rsid w:val="00966455"/>
    <w:rsid w:val="00970906"/>
    <w:rsid w:val="0097559F"/>
    <w:rsid w:val="0098596D"/>
    <w:rsid w:val="00991D0D"/>
    <w:rsid w:val="009A581B"/>
    <w:rsid w:val="009C5A10"/>
    <w:rsid w:val="009C5CFF"/>
    <w:rsid w:val="009F062C"/>
    <w:rsid w:val="009F1C85"/>
    <w:rsid w:val="00A00072"/>
    <w:rsid w:val="00A0271F"/>
    <w:rsid w:val="00A04321"/>
    <w:rsid w:val="00A24F56"/>
    <w:rsid w:val="00A318CE"/>
    <w:rsid w:val="00A4102D"/>
    <w:rsid w:val="00A43675"/>
    <w:rsid w:val="00A5082A"/>
    <w:rsid w:val="00A528C5"/>
    <w:rsid w:val="00A666D4"/>
    <w:rsid w:val="00A752C1"/>
    <w:rsid w:val="00A83BC8"/>
    <w:rsid w:val="00A8487F"/>
    <w:rsid w:val="00AA016A"/>
    <w:rsid w:val="00AA100E"/>
    <w:rsid w:val="00AA453D"/>
    <w:rsid w:val="00AB3D7B"/>
    <w:rsid w:val="00AC3D93"/>
    <w:rsid w:val="00AD31CE"/>
    <w:rsid w:val="00AE23A3"/>
    <w:rsid w:val="00AE3CF7"/>
    <w:rsid w:val="00AE4FB3"/>
    <w:rsid w:val="00AE506F"/>
    <w:rsid w:val="00AF1B69"/>
    <w:rsid w:val="00AF2B01"/>
    <w:rsid w:val="00AF694B"/>
    <w:rsid w:val="00B054CE"/>
    <w:rsid w:val="00B16FC0"/>
    <w:rsid w:val="00B274F8"/>
    <w:rsid w:val="00B53215"/>
    <w:rsid w:val="00B547D0"/>
    <w:rsid w:val="00B6326C"/>
    <w:rsid w:val="00B674BB"/>
    <w:rsid w:val="00B71D34"/>
    <w:rsid w:val="00B72898"/>
    <w:rsid w:val="00B87C8F"/>
    <w:rsid w:val="00B950C6"/>
    <w:rsid w:val="00B951FD"/>
    <w:rsid w:val="00BA49EB"/>
    <w:rsid w:val="00BA5D94"/>
    <w:rsid w:val="00BE4976"/>
    <w:rsid w:val="00BF0E35"/>
    <w:rsid w:val="00C321BB"/>
    <w:rsid w:val="00C4483D"/>
    <w:rsid w:val="00C50C12"/>
    <w:rsid w:val="00C5594B"/>
    <w:rsid w:val="00C758B5"/>
    <w:rsid w:val="00C9162A"/>
    <w:rsid w:val="00CB5005"/>
    <w:rsid w:val="00CB68AC"/>
    <w:rsid w:val="00CC06E1"/>
    <w:rsid w:val="00CD248A"/>
    <w:rsid w:val="00CE3735"/>
    <w:rsid w:val="00D11058"/>
    <w:rsid w:val="00D15C1B"/>
    <w:rsid w:val="00D23A1F"/>
    <w:rsid w:val="00D33076"/>
    <w:rsid w:val="00D42A69"/>
    <w:rsid w:val="00D54D65"/>
    <w:rsid w:val="00D57009"/>
    <w:rsid w:val="00D640D2"/>
    <w:rsid w:val="00D647EA"/>
    <w:rsid w:val="00D70090"/>
    <w:rsid w:val="00D8687D"/>
    <w:rsid w:val="00D93D46"/>
    <w:rsid w:val="00D948D2"/>
    <w:rsid w:val="00DB2C61"/>
    <w:rsid w:val="00DB46F2"/>
    <w:rsid w:val="00DC2995"/>
    <w:rsid w:val="00DE0E20"/>
    <w:rsid w:val="00DE1D3A"/>
    <w:rsid w:val="00DE2DBE"/>
    <w:rsid w:val="00E00100"/>
    <w:rsid w:val="00E01C34"/>
    <w:rsid w:val="00E11880"/>
    <w:rsid w:val="00E1699B"/>
    <w:rsid w:val="00E22598"/>
    <w:rsid w:val="00E42186"/>
    <w:rsid w:val="00E50892"/>
    <w:rsid w:val="00E71168"/>
    <w:rsid w:val="00E834CD"/>
    <w:rsid w:val="00EA2E10"/>
    <w:rsid w:val="00EB0003"/>
    <w:rsid w:val="00EB6D74"/>
    <w:rsid w:val="00EC1264"/>
    <w:rsid w:val="00EC34A5"/>
    <w:rsid w:val="00ED5581"/>
    <w:rsid w:val="00ED74D1"/>
    <w:rsid w:val="00ED7A6D"/>
    <w:rsid w:val="00EE3734"/>
    <w:rsid w:val="00F11274"/>
    <w:rsid w:val="00F21578"/>
    <w:rsid w:val="00F32B82"/>
    <w:rsid w:val="00F414D1"/>
    <w:rsid w:val="00F4601E"/>
    <w:rsid w:val="00F47263"/>
    <w:rsid w:val="00F516DC"/>
    <w:rsid w:val="00F62626"/>
    <w:rsid w:val="00F67311"/>
    <w:rsid w:val="00F72577"/>
    <w:rsid w:val="00F76D75"/>
    <w:rsid w:val="00F778EC"/>
    <w:rsid w:val="00F862A5"/>
    <w:rsid w:val="00F87186"/>
    <w:rsid w:val="00FA5293"/>
    <w:rsid w:val="00FA6D6E"/>
    <w:rsid w:val="00FD003A"/>
    <w:rsid w:val="00FE0E24"/>
    <w:rsid w:val="00FE5BC1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D6F"/>
    <w:pPr>
      <w:suppressAutoHyphens/>
      <w:autoSpaceDN w:val="0"/>
      <w:textAlignment w:val="baseline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51D6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50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06F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506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07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0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7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74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D6F"/>
    <w:pPr>
      <w:suppressAutoHyphens/>
      <w:autoSpaceDN w:val="0"/>
      <w:textAlignment w:val="baseline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51D6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50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06F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506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07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0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7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74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D5C0-4B64-4279-9F42-DCF8682E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2014-06-19T14:29:00Z</cp:lastPrinted>
  <dcterms:created xsi:type="dcterms:W3CDTF">2014-06-05T14:45:00Z</dcterms:created>
  <dcterms:modified xsi:type="dcterms:W3CDTF">2014-09-22T16:40:00Z</dcterms:modified>
</cp:coreProperties>
</file>