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D1" w:rsidRPr="00D878DE" w:rsidRDefault="00045C9B" w:rsidP="00D878DE">
      <w:pPr>
        <w:pStyle w:val="ListParagraph"/>
        <w:ind w:left="0"/>
        <w:jc w:val="center"/>
        <w:rPr>
          <w:b/>
          <w:lang w:val="en-US"/>
        </w:rPr>
      </w:pPr>
      <w:r w:rsidRPr="00D878DE">
        <w:rPr>
          <w:b/>
          <w:lang w:val="en-US"/>
        </w:rPr>
        <w:t>BAB I</w:t>
      </w:r>
    </w:p>
    <w:p w:rsidR="00045C9B" w:rsidRPr="00FB4041" w:rsidRDefault="00045C9B" w:rsidP="00D878DE">
      <w:pPr>
        <w:pStyle w:val="ListParagraph"/>
        <w:ind w:left="0"/>
        <w:jc w:val="center"/>
        <w:rPr>
          <w:lang w:val="en-US"/>
        </w:rPr>
      </w:pPr>
      <w:r w:rsidRPr="00D878DE">
        <w:rPr>
          <w:b/>
          <w:lang w:val="en-US"/>
        </w:rPr>
        <w:t>PENDAHULUAN</w:t>
      </w:r>
    </w:p>
    <w:p w:rsidR="00045C9B" w:rsidRPr="00FB4041" w:rsidRDefault="00045C9B" w:rsidP="00240CF0">
      <w:pPr>
        <w:pStyle w:val="ListParagraph"/>
        <w:spacing w:line="240" w:lineRule="auto"/>
        <w:ind w:left="426" w:firstLine="850"/>
        <w:jc w:val="both"/>
        <w:rPr>
          <w:lang w:val="en-US"/>
        </w:rPr>
      </w:pPr>
    </w:p>
    <w:p w:rsidR="00045C9B" w:rsidRPr="00D878DE" w:rsidRDefault="00045C9B" w:rsidP="00D878DE">
      <w:pPr>
        <w:pStyle w:val="ListParagraph"/>
        <w:numPr>
          <w:ilvl w:val="0"/>
          <w:numId w:val="8"/>
        </w:numPr>
        <w:ind w:left="426" w:hanging="426"/>
        <w:jc w:val="both"/>
        <w:rPr>
          <w:b/>
          <w:lang w:val="en-US"/>
        </w:rPr>
      </w:pPr>
      <w:r w:rsidRPr="00D878DE">
        <w:rPr>
          <w:b/>
          <w:lang w:val="en-US"/>
        </w:rPr>
        <w:t>Latar Belakang</w:t>
      </w:r>
    </w:p>
    <w:p w:rsidR="00FB4041" w:rsidRDefault="00FB4041" w:rsidP="00FB4041">
      <w:pPr>
        <w:pStyle w:val="ListParagraph"/>
        <w:ind w:left="426" w:firstLine="850"/>
        <w:jc w:val="both"/>
        <w:rPr>
          <w:lang w:val="en-US"/>
        </w:rPr>
      </w:pPr>
      <w:r w:rsidRPr="00FB4041">
        <w:rPr>
          <w:lang w:val="en-US"/>
        </w:rPr>
        <w:t xml:space="preserve">Tugas pokok Pengadilan Agama </w:t>
      </w:r>
      <w:r w:rsidR="00A97C0C">
        <w:rPr>
          <w:lang w:val="en-US"/>
        </w:rPr>
        <w:t>m</w:t>
      </w:r>
      <w:r w:rsidR="00A97C0C" w:rsidRPr="00FB4041">
        <w:rPr>
          <w:lang w:val="en-US"/>
        </w:rPr>
        <w:t xml:space="preserve">enurut </w:t>
      </w:r>
      <w:r w:rsidR="00A97C0C">
        <w:rPr>
          <w:lang w:val="en-US"/>
        </w:rPr>
        <w:t>Pasal</w:t>
      </w:r>
      <w:r w:rsidR="00A97C0C" w:rsidRPr="00FB4041">
        <w:rPr>
          <w:lang w:val="en-US"/>
        </w:rPr>
        <w:t xml:space="preserve"> 2 ayat 1 UU No. 14 Tahun 1970 jo UU No. 4 Tahun 2004</w:t>
      </w:r>
      <w:r w:rsidR="00A97C0C">
        <w:rPr>
          <w:lang w:val="en-US"/>
        </w:rPr>
        <w:t xml:space="preserve"> </w:t>
      </w:r>
      <w:r w:rsidRPr="00FB4041">
        <w:rPr>
          <w:lang w:val="en-US"/>
        </w:rPr>
        <w:t xml:space="preserve">sebagai badan pelaksana kekuasaan kehakiman ialah </w:t>
      </w:r>
      <w:r w:rsidR="00A97C0C">
        <w:rPr>
          <w:lang w:val="en-US"/>
        </w:rPr>
        <w:t>“</w:t>
      </w:r>
      <w:r w:rsidRPr="00FB4041">
        <w:rPr>
          <w:lang w:val="en-US"/>
        </w:rPr>
        <w:t>menerima, memeriksa, dan mengadili serta menyelesaikan setiap perkara yang diajukan kepadanya, termasuk di</w:t>
      </w:r>
      <w:r w:rsidR="008D41BA">
        <w:rPr>
          <w:lang w:val="en-US"/>
        </w:rPr>
        <w:t xml:space="preserve"> </w:t>
      </w:r>
      <w:r w:rsidRPr="00FB4041">
        <w:rPr>
          <w:lang w:val="en-US"/>
        </w:rPr>
        <w:t>dalamnya me</w:t>
      </w:r>
      <w:r w:rsidR="00A97C0C">
        <w:rPr>
          <w:lang w:val="en-US"/>
        </w:rPr>
        <w:t>nyelesaikan perkara voluntair”.</w:t>
      </w:r>
      <w:r w:rsidR="00A97C0C">
        <w:rPr>
          <w:rStyle w:val="FootnoteReference"/>
          <w:lang w:val="en-US"/>
        </w:rPr>
        <w:footnoteReference w:id="2"/>
      </w:r>
    </w:p>
    <w:p w:rsidR="00FB4041" w:rsidRPr="00240CF0" w:rsidRDefault="00FB4041" w:rsidP="00240CF0">
      <w:pPr>
        <w:pStyle w:val="ListParagraph"/>
        <w:ind w:left="426" w:firstLine="850"/>
        <w:jc w:val="both"/>
        <w:rPr>
          <w:lang w:val="en-US"/>
        </w:rPr>
      </w:pPr>
      <w:r w:rsidRPr="00FB4041">
        <w:rPr>
          <w:lang w:val="en-US"/>
        </w:rPr>
        <w:t xml:space="preserve">Berdasarkan ketentuan UU No. 7 tahun 1989 jo No. 3 Tahun 2006 perubahan yang terakhir UU No. 50 Tahun 2009 tentang Peradilan Agama, khususnya </w:t>
      </w:r>
      <w:r w:rsidR="00A97C0C">
        <w:rPr>
          <w:lang w:val="en-US"/>
        </w:rPr>
        <w:t>Pasal</w:t>
      </w:r>
      <w:r w:rsidRPr="00FB4041">
        <w:rPr>
          <w:lang w:val="en-US"/>
        </w:rPr>
        <w:t xml:space="preserve"> 1, 2, 49, dan penjelasan umum angka 2 serta peraturan perundang-undangan lain yang berlaku. Antara lain : UU No. 1 Tahun 1974 PP No. 28 tahun 1977, Inpres No. 1 tahun 1991 tentang Kompilasi Hukum Islam, Permenag No. 2 tahun 1987 tentang wali hakim, </w:t>
      </w:r>
      <w:r w:rsidR="00240CF0">
        <w:rPr>
          <w:lang w:val="en-US"/>
        </w:rPr>
        <w:t>merumuskan bahwa: “P</w:t>
      </w:r>
      <w:r w:rsidRPr="00240CF0">
        <w:rPr>
          <w:lang w:val="en-US"/>
        </w:rPr>
        <w:t xml:space="preserve">eradilan Agama bertugas dan berwenang untuk memberikan pelayanan hukum dan keadilan dalam bidang hukum keluarga dan harta perkawinan bagi mereka yang beragama Islam, berdasarkan Hukum </w:t>
      </w:r>
      <w:r w:rsidR="00240CF0">
        <w:rPr>
          <w:lang w:val="en-US"/>
        </w:rPr>
        <w:t>Islam”</w:t>
      </w:r>
      <w:r w:rsidRPr="00240CF0">
        <w:rPr>
          <w:lang w:val="en-US"/>
        </w:rPr>
        <w:t>.</w:t>
      </w:r>
      <w:r w:rsidRPr="008D41BA">
        <w:rPr>
          <w:vertAlign w:val="superscript"/>
        </w:rPr>
        <w:footnoteReference w:id="3"/>
      </w:r>
    </w:p>
    <w:p w:rsidR="00D878DE" w:rsidRPr="00D878DE" w:rsidRDefault="00D878DE" w:rsidP="00240CF0">
      <w:pPr>
        <w:pStyle w:val="ListParagraph"/>
        <w:ind w:left="426" w:firstLine="850"/>
        <w:jc w:val="both"/>
        <w:rPr>
          <w:lang w:val="en-US"/>
        </w:rPr>
      </w:pPr>
      <w:r>
        <w:rPr>
          <w:lang w:val="en-US"/>
        </w:rPr>
        <w:t xml:space="preserve">Secara rinci, </w:t>
      </w:r>
      <w:r w:rsidRPr="00D878DE">
        <w:rPr>
          <w:lang w:val="en-US"/>
        </w:rPr>
        <w:t>Pen</w:t>
      </w:r>
      <w:r w:rsidR="00240CF0">
        <w:rPr>
          <w:lang w:val="en-US"/>
        </w:rPr>
        <w:t>gadilan A</w:t>
      </w:r>
      <w:r w:rsidR="008D41BA">
        <w:rPr>
          <w:lang w:val="en-US"/>
        </w:rPr>
        <w:t>gama bertugas dan ber</w:t>
      </w:r>
      <w:r w:rsidRPr="00D878DE">
        <w:rPr>
          <w:lang w:val="en-US"/>
        </w:rPr>
        <w:t>wenang memeriksa, memutus, dan menyelesaikan perkara-perkara tingkat pertama antara orang-</w:t>
      </w:r>
      <w:r w:rsidRPr="00D878DE">
        <w:rPr>
          <w:lang w:val="en-US"/>
        </w:rPr>
        <w:lastRenderedPageBreak/>
        <w:t xml:space="preserve">orang yang beragama Islam di bidang: </w:t>
      </w:r>
      <w:r w:rsidR="00240CF0">
        <w:rPr>
          <w:lang w:val="en-US"/>
        </w:rPr>
        <w:t>p</w:t>
      </w:r>
      <w:r w:rsidRPr="00D878DE">
        <w:rPr>
          <w:lang w:val="en-US"/>
        </w:rPr>
        <w:t>erkawinan</w:t>
      </w:r>
      <w:r w:rsidR="00240CF0">
        <w:rPr>
          <w:lang w:val="en-US"/>
        </w:rPr>
        <w:t>, kewarisan, w</w:t>
      </w:r>
      <w:r w:rsidRPr="00D878DE">
        <w:rPr>
          <w:lang w:val="en-US"/>
        </w:rPr>
        <w:t>asiat</w:t>
      </w:r>
      <w:r w:rsidR="00240CF0">
        <w:rPr>
          <w:lang w:val="en-US"/>
        </w:rPr>
        <w:t>, hibah, w</w:t>
      </w:r>
      <w:r w:rsidRPr="00D878DE">
        <w:rPr>
          <w:lang w:val="en-US"/>
        </w:rPr>
        <w:t>akaf</w:t>
      </w:r>
      <w:r w:rsidR="00240CF0">
        <w:rPr>
          <w:lang w:val="en-US"/>
        </w:rPr>
        <w:t>, s</w:t>
      </w:r>
      <w:r w:rsidRPr="00D878DE">
        <w:rPr>
          <w:lang w:val="en-US"/>
        </w:rPr>
        <w:t>hodaqoh</w:t>
      </w:r>
      <w:r w:rsidR="00240CF0">
        <w:rPr>
          <w:lang w:val="en-US"/>
        </w:rPr>
        <w:t>, z</w:t>
      </w:r>
      <w:r w:rsidRPr="00D878DE">
        <w:rPr>
          <w:lang w:val="en-US"/>
        </w:rPr>
        <w:t>akat</w:t>
      </w:r>
      <w:r w:rsidR="00240CF0">
        <w:rPr>
          <w:lang w:val="en-US"/>
        </w:rPr>
        <w:t>, infaq, dan e</w:t>
      </w:r>
      <w:r w:rsidRPr="00D878DE">
        <w:rPr>
          <w:lang w:val="en-US"/>
        </w:rPr>
        <w:t xml:space="preserve">konomi </w:t>
      </w:r>
      <w:r w:rsidR="00240CF0">
        <w:rPr>
          <w:lang w:val="en-US"/>
        </w:rPr>
        <w:t>s</w:t>
      </w:r>
      <w:r w:rsidRPr="00D878DE">
        <w:rPr>
          <w:lang w:val="en-US"/>
        </w:rPr>
        <w:t>yari’ah</w:t>
      </w:r>
      <w:r w:rsidR="00240CF0">
        <w:rPr>
          <w:lang w:val="en-US"/>
        </w:rPr>
        <w:t>.</w:t>
      </w:r>
      <w:r>
        <w:rPr>
          <w:rStyle w:val="FootnoteReference"/>
          <w:lang w:val="en-US"/>
        </w:rPr>
        <w:footnoteReference w:id="4"/>
      </w:r>
    </w:p>
    <w:p w:rsidR="00FB4041" w:rsidRPr="00FB4041" w:rsidRDefault="00A97C0C" w:rsidP="00FB4041">
      <w:pPr>
        <w:pStyle w:val="ListParagraph"/>
        <w:ind w:left="426" w:firstLine="850"/>
        <w:jc w:val="both"/>
        <w:rPr>
          <w:lang w:val="en-US"/>
        </w:rPr>
      </w:pPr>
      <w:r>
        <w:rPr>
          <w:lang w:val="en-US"/>
        </w:rPr>
        <w:t>Kewenangan relatif</w:t>
      </w:r>
      <w:r w:rsidR="00FB4041" w:rsidRPr="00FB4041">
        <w:rPr>
          <w:lang w:val="en-US"/>
        </w:rPr>
        <w:t xml:space="preserve"> adalah kekuasaan dan wewenang yang diberikan antara Pengadilan dalam lingkungan Peradilan yang sama atau wewenang yang berhubungan dengan wilayah hukum antara Pengadilan Agama dalam lingkungan Peradilan Agama. </w:t>
      </w:r>
    </w:p>
    <w:p w:rsidR="00FB4041" w:rsidRDefault="00A97C0C" w:rsidP="00FB4041">
      <w:pPr>
        <w:pStyle w:val="ListParagraph"/>
        <w:ind w:left="426" w:firstLine="850"/>
        <w:jc w:val="both"/>
        <w:rPr>
          <w:lang w:val="en-US"/>
        </w:rPr>
      </w:pPr>
      <w:r>
        <w:rPr>
          <w:lang w:val="en-US"/>
        </w:rPr>
        <w:t>Selain daripada itu</w:t>
      </w:r>
      <w:r w:rsidR="00676665">
        <w:rPr>
          <w:lang w:val="en-US"/>
        </w:rPr>
        <w:t>,</w:t>
      </w:r>
      <w:r w:rsidR="00FB4041" w:rsidRPr="00FB4041">
        <w:rPr>
          <w:lang w:val="en-US"/>
        </w:rPr>
        <w:t xml:space="preserve"> Pengadilan Aga</w:t>
      </w:r>
      <w:r>
        <w:rPr>
          <w:lang w:val="en-US"/>
        </w:rPr>
        <w:t>ma mempunyai kewenangan absolut</w:t>
      </w:r>
      <w:r w:rsidR="00FB4041" w:rsidRPr="00FB4041">
        <w:rPr>
          <w:lang w:val="en-US"/>
        </w:rPr>
        <w:t xml:space="preserve"> dalam perkara perkawinan. Sebagai akibat putusnya perkawinan karena talak seorang hakim karena jabatanya dapat mewajibkan kepada bekas suami untuk memberikan biaya penghidupan kepada mantan istri ataupun nafkah terhadap anak hasil dari pernikahan tersebut seperti halnya dalam </w:t>
      </w:r>
      <w:r>
        <w:rPr>
          <w:lang w:val="en-US"/>
        </w:rPr>
        <w:t>Pasal</w:t>
      </w:r>
      <w:r w:rsidR="00FB4041" w:rsidRPr="00FB4041">
        <w:rPr>
          <w:lang w:val="en-US"/>
        </w:rPr>
        <w:t>-</w:t>
      </w:r>
      <w:r>
        <w:rPr>
          <w:lang w:val="en-US"/>
        </w:rPr>
        <w:t>Pasal</w:t>
      </w:r>
      <w:r w:rsidR="00FB4041" w:rsidRPr="00FB4041">
        <w:rPr>
          <w:lang w:val="en-US"/>
        </w:rPr>
        <w:t xml:space="preserve"> sebagai berikut :</w:t>
      </w:r>
      <w:r w:rsidR="00D878DE" w:rsidRPr="00FB4041">
        <w:rPr>
          <w:lang w:val="en-US"/>
        </w:rPr>
        <w:t xml:space="preserve"> </w:t>
      </w:r>
      <w:r w:rsidR="00FB4041" w:rsidRPr="00FB4041">
        <w:rPr>
          <w:lang w:val="en-US"/>
        </w:rPr>
        <w:t xml:space="preserve"> </w:t>
      </w:r>
    </w:p>
    <w:p w:rsidR="00FB4041" w:rsidRPr="00FB4041" w:rsidRDefault="00FB4041" w:rsidP="00240CF0">
      <w:pPr>
        <w:pStyle w:val="ListParagraph"/>
        <w:numPr>
          <w:ilvl w:val="0"/>
          <w:numId w:val="4"/>
        </w:numPr>
        <w:spacing w:line="240" w:lineRule="auto"/>
        <w:jc w:val="both"/>
        <w:rPr>
          <w:lang w:val="en-US"/>
        </w:rPr>
      </w:pPr>
      <w:r w:rsidRPr="00FB4041">
        <w:rPr>
          <w:lang w:val="en-US"/>
        </w:rPr>
        <w:t xml:space="preserve">KHI </w:t>
      </w:r>
      <w:r w:rsidR="00A97C0C">
        <w:rPr>
          <w:lang w:val="en-US"/>
        </w:rPr>
        <w:t>Pasal</w:t>
      </w:r>
      <w:r w:rsidRPr="00FB4041">
        <w:rPr>
          <w:lang w:val="en-US"/>
        </w:rPr>
        <w:t xml:space="preserve"> 149. </w:t>
      </w:r>
    </w:p>
    <w:p w:rsidR="00FB4041" w:rsidRPr="00FB4041" w:rsidRDefault="00FB4041" w:rsidP="00240CF0">
      <w:pPr>
        <w:spacing w:line="240" w:lineRule="auto"/>
        <w:ind w:firstLine="720"/>
        <w:jc w:val="both"/>
        <w:rPr>
          <w:lang w:val="en-US"/>
        </w:rPr>
      </w:pPr>
      <w:r w:rsidRPr="00FB4041">
        <w:rPr>
          <w:lang w:val="en-US"/>
        </w:rPr>
        <w:t xml:space="preserve">Bilamana perkawinan putus karena talak, maka bekas suami wajib : </w:t>
      </w:r>
    </w:p>
    <w:p w:rsidR="00FB4041" w:rsidRPr="00FB4041" w:rsidRDefault="00FB4041" w:rsidP="00240CF0">
      <w:pPr>
        <w:pStyle w:val="ListParagraph"/>
        <w:numPr>
          <w:ilvl w:val="0"/>
          <w:numId w:val="2"/>
        </w:numPr>
        <w:spacing w:line="240" w:lineRule="auto"/>
        <w:ind w:left="1134"/>
        <w:jc w:val="both"/>
        <w:rPr>
          <w:lang w:val="en-US"/>
        </w:rPr>
      </w:pPr>
      <w:r w:rsidRPr="00FB4041">
        <w:rPr>
          <w:lang w:val="en-US"/>
        </w:rPr>
        <w:t xml:space="preserve">Memberikan mut’ah yang layak kepada bekas istrinya baik berupa uang atau benda, kecuali bekas istri tersebut </w:t>
      </w:r>
      <w:r w:rsidRPr="008D41BA">
        <w:rPr>
          <w:i/>
          <w:lang w:val="en-US"/>
        </w:rPr>
        <w:t>qobla al du</w:t>
      </w:r>
      <w:r w:rsidR="008D41BA">
        <w:rPr>
          <w:i/>
          <w:lang w:val="en-US"/>
        </w:rPr>
        <w:t>k</w:t>
      </w:r>
      <w:r w:rsidRPr="008D41BA">
        <w:rPr>
          <w:i/>
          <w:lang w:val="en-US"/>
        </w:rPr>
        <w:t>hul</w:t>
      </w:r>
      <w:r w:rsidRPr="00FB4041">
        <w:rPr>
          <w:lang w:val="en-US"/>
        </w:rPr>
        <w:t xml:space="preserve">. </w:t>
      </w:r>
    </w:p>
    <w:p w:rsidR="00FB4041" w:rsidRPr="00FB4041" w:rsidRDefault="00FB4041" w:rsidP="00240CF0">
      <w:pPr>
        <w:pStyle w:val="ListParagraph"/>
        <w:numPr>
          <w:ilvl w:val="0"/>
          <w:numId w:val="2"/>
        </w:numPr>
        <w:spacing w:line="240" w:lineRule="auto"/>
        <w:ind w:left="1134"/>
        <w:jc w:val="both"/>
        <w:rPr>
          <w:lang w:val="en-US"/>
        </w:rPr>
      </w:pPr>
      <w:r w:rsidRPr="00FB4041">
        <w:rPr>
          <w:lang w:val="en-US"/>
        </w:rPr>
        <w:t xml:space="preserve">Memberi nafkah, maskan dan kiswah kepada istri selama dalam masa iddah, kecuali bekas istri telah dijatuhi talak bain atau nusuz. </w:t>
      </w:r>
    </w:p>
    <w:p w:rsidR="00FB4041" w:rsidRPr="00FB4041" w:rsidRDefault="00FB4041" w:rsidP="00240CF0">
      <w:pPr>
        <w:pStyle w:val="ListParagraph"/>
        <w:numPr>
          <w:ilvl w:val="0"/>
          <w:numId w:val="2"/>
        </w:numPr>
        <w:spacing w:line="240" w:lineRule="auto"/>
        <w:ind w:left="1134"/>
        <w:jc w:val="both"/>
        <w:rPr>
          <w:lang w:val="en-US"/>
        </w:rPr>
      </w:pPr>
      <w:r w:rsidRPr="00FB4041">
        <w:rPr>
          <w:lang w:val="en-US"/>
        </w:rPr>
        <w:t xml:space="preserve">Melunasi mahar yang terhutang seluruhnya dan separuh apabila qobla al duhul. </w:t>
      </w:r>
    </w:p>
    <w:p w:rsidR="00FB4041" w:rsidRPr="00FB4041" w:rsidRDefault="00FB4041" w:rsidP="00240CF0">
      <w:pPr>
        <w:pStyle w:val="ListParagraph"/>
        <w:numPr>
          <w:ilvl w:val="0"/>
          <w:numId w:val="2"/>
        </w:numPr>
        <w:spacing w:line="240" w:lineRule="auto"/>
        <w:ind w:left="1134"/>
        <w:jc w:val="both"/>
        <w:rPr>
          <w:lang w:val="en-US"/>
        </w:rPr>
      </w:pPr>
      <w:r w:rsidRPr="00FB4041">
        <w:rPr>
          <w:lang w:val="en-US"/>
        </w:rPr>
        <w:t xml:space="preserve">Memberi biaya </w:t>
      </w:r>
      <w:r w:rsidRPr="008D41BA">
        <w:rPr>
          <w:i/>
          <w:lang w:val="en-US"/>
        </w:rPr>
        <w:t>hadhonah</w:t>
      </w:r>
      <w:r w:rsidRPr="00FB4041">
        <w:rPr>
          <w:lang w:val="en-US"/>
        </w:rPr>
        <w:t xml:space="preserve"> untuk anak-anaknya yang belum sampai umur 21 Tahun. </w:t>
      </w:r>
    </w:p>
    <w:p w:rsidR="00FB4041" w:rsidRPr="00FB4041" w:rsidRDefault="00A97C0C" w:rsidP="00240CF0">
      <w:pPr>
        <w:pStyle w:val="ListParagraph"/>
        <w:numPr>
          <w:ilvl w:val="0"/>
          <w:numId w:val="4"/>
        </w:numPr>
        <w:spacing w:line="240" w:lineRule="auto"/>
        <w:jc w:val="both"/>
        <w:rPr>
          <w:lang w:val="en-US"/>
        </w:rPr>
      </w:pPr>
      <w:r>
        <w:rPr>
          <w:lang w:val="en-US"/>
        </w:rPr>
        <w:t>Pasal</w:t>
      </w:r>
      <w:r w:rsidR="00FB4041" w:rsidRPr="00FB4041">
        <w:rPr>
          <w:lang w:val="en-US"/>
        </w:rPr>
        <w:t xml:space="preserve"> 41 (b dan c) UU. No. 1Tahun 1974. </w:t>
      </w:r>
    </w:p>
    <w:p w:rsidR="00FB4041" w:rsidRPr="00FB4041" w:rsidRDefault="00FB4041" w:rsidP="00240CF0">
      <w:pPr>
        <w:spacing w:line="240" w:lineRule="auto"/>
        <w:ind w:left="851"/>
        <w:jc w:val="both"/>
        <w:rPr>
          <w:lang w:val="en-US"/>
        </w:rPr>
      </w:pPr>
      <w:r w:rsidRPr="00FB4041">
        <w:rPr>
          <w:lang w:val="en-US"/>
        </w:rPr>
        <w:t xml:space="preserve">Akibat putusnya perkawinan karena perceraian adalah : </w:t>
      </w:r>
    </w:p>
    <w:p w:rsidR="00FB4041" w:rsidRPr="00FB4041" w:rsidRDefault="00FB4041" w:rsidP="00240CF0">
      <w:pPr>
        <w:pStyle w:val="ListParagraph"/>
        <w:numPr>
          <w:ilvl w:val="0"/>
          <w:numId w:val="5"/>
        </w:numPr>
        <w:spacing w:line="240" w:lineRule="auto"/>
        <w:ind w:left="1134"/>
        <w:jc w:val="both"/>
        <w:rPr>
          <w:lang w:val="en-US"/>
        </w:rPr>
      </w:pPr>
      <w:r w:rsidRPr="00FB4041">
        <w:rPr>
          <w:lang w:val="en-US"/>
        </w:rPr>
        <w:t xml:space="preserve">Bapak yang bertanggung jawab atas semua biaya pemeliharaan dan pendidikan yang diperlukan anak itu, bilamana kenyataan tidak dapat memenuhi kewajiban tersebut, pengadilan dapat menentukan ibu memikul biaya tersebut. </w:t>
      </w:r>
    </w:p>
    <w:p w:rsidR="00FB4041" w:rsidRDefault="00FB4041" w:rsidP="00240CF0">
      <w:pPr>
        <w:pStyle w:val="ListParagraph"/>
        <w:numPr>
          <w:ilvl w:val="0"/>
          <w:numId w:val="5"/>
        </w:numPr>
        <w:spacing w:line="240" w:lineRule="auto"/>
        <w:ind w:left="1134"/>
        <w:jc w:val="both"/>
        <w:rPr>
          <w:lang w:val="en-US"/>
        </w:rPr>
      </w:pPr>
      <w:r w:rsidRPr="00FB4041">
        <w:rPr>
          <w:lang w:val="en-US"/>
        </w:rPr>
        <w:lastRenderedPageBreak/>
        <w:t xml:space="preserve">Pengadilan Agama dapat mewajibkan kepada bekas suami untuk memberikan </w:t>
      </w:r>
      <w:r w:rsidR="008D41BA">
        <w:rPr>
          <w:lang w:val="en-US"/>
        </w:rPr>
        <w:t>b</w:t>
      </w:r>
      <w:r w:rsidRPr="00FB4041">
        <w:rPr>
          <w:lang w:val="en-US"/>
        </w:rPr>
        <w:t>iaya penghidupan dan atau menentukan sesuatu kewajiban bagi bekas istri.</w:t>
      </w:r>
      <w:r w:rsidR="008340B5" w:rsidRPr="008340B5">
        <w:rPr>
          <w:rStyle w:val="FootnoteReference"/>
          <w:lang w:val="en-US"/>
        </w:rPr>
        <w:t xml:space="preserve"> </w:t>
      </w:r>
      <w:r w:rsidR="008340B5">
        <w:rPr>
          <w:rStyle w:val="FootnoteReference"/>
          <w:lang w:val="en-US"/>
        </w:rPr>
        <w:footnoteReference w:id="5"/>
      </w:r>
      <w:r w:rsidRPr="00FB4041">
        <w:rPr>
          <w:lang w:val="en-US"/>
        </w:rPr>
        <w:t xml:space="preserve"> </w:t>
      </w:r>
    </w:p>
    <w:p w:rsidR="00240CF0" w:rsidRDefault="00240CF0" w:rsidP="00240CF0">
      <w:pPr>
        <w:pStyle w:val="ListParagraph"/>
        <w:spacing w:line="240" w:lineRule="auto"/>
        <w:ind w:left="1134"/>
        <w:jc w:val="both"/>
        <w:rPr>
          <w:lang w:val="en-US"/>
        </w:rPr>
      </w:pPr>
    </w:p>
    <w:p w:rsidR="00FB4041" w:rsidRDefault="00FB4041" w:rsidP="00240CF0">
      <w:pPr>
        <w:pStyle w:val="ListParagraph"/>
        <w:ind w:left="426" w:firstLine="850"/>
        <w:jc w:val="both"/>
        <w:rPr>
          <w:lang w:val="en-US"/>
        </w:rPr>
      </w:pPr>
      <w:r w:rsidRPr="00FB4041">
        <w:rPr>
          <w:lang w:val="en-US"/>
        </w:rPr>
        <w:t>Hakim wajib mengadili setiap perkara yang diajukan kepadanya. Hakim tidak boleh menolak perkara dengan dalih bahwa hukum tidak atau kurang jelas, melainkan wajib memeriksa dan mengadili</w:t>
      </w:r>
      <w:r w:rsidR="00240CF0">
        <w:rPr>
          <w:lang w:val="en-US"/>
        </w:rPr>
        <w:t>. Ketentuan ini seperti termuat dalam “</w:t>
      </w:r>
      <w:r w:rsidR="00A97C0C">
        <w:rPr>
          <w:lang w:val="en-US"/>
        </w:rPr>
        <w:t>Pasal</w:t>
      </w:r>
      <w:r w:rsidRPr="00FB4041">
        <w:rPr>
          <w:lang w:val="en-US"/>
        </w:rPr>
        <w:t xml:space="preserve"> 56 ayat 1 UU No. 7 tahun 1989 jo No. 3 Tahun 2006 perubahan yang terakhir UU No.50 Tahun 2009 tentang Peradilan Agama</w:t>
      </w:r>
      <w:r w:rsidR="00240CF0">
        <w:rPr>
          <w:lang w:val="en-US"/>
        </w:rPr>
        <w:t>”</w:t>
      </w:r>
      <w:r w:rsidRPr="00FB4041">
        <w:rPr>
          <w:lang w:val="en-US"/>
        </w:rPr>
        <w:t>.</w:t>
      </w:r>
      <w:r>
        <w:rPr>
          <w:rStyle w:val="FootnoteReference"/>
          <w:lang w:val="en-US"/>
        </w:rPr>
        <w:footnoteReference w:id="6"/>
      </w:r>
    </w:p>
    <w:p w:rsidR="00FB4041" w:rsidRPr="00FB4041" w:rsidRDefault="00FB4041" w:rsidP="00980750">
      <w:pPr>
        <w:pStyle w:val="ListParagraph"/>
        <w:ind w:left="426" w:firstLine="850"/>
        <w:jc w:val="both"/>
        <w:rPr>
          <w:lang w:val="en-US"/>
        </w:rPr>
      </w:pPr>
      <w:r w:rsidRPr="00FB4041">
        <w:rPr>
          <w:lang w:val="en-US"/>
        </w:rPr>
        <w:t>Pengabulan gugat</w:t>
      </w:r>
      <w:r w:rsidR="008D41BA">
        <w:rPr>
          <w:lang w:val="en-US"/>
        </w:rPr>
        <w:t>an</w:t>
      </w:r>
      <w:r w:rsidRPr="00FB4041">
        <w:rPr>
          <w:lang w:val="en-US"/>
        </w:rPr>
        <w:t xml:space="preserve">, </w:t>
      </w:r>
      <w:r w:rsidR="00240CF0">
        <w:rPr>
          <w:lang w:val="en-US"/>
        </w:rPr>
        <w:t xml:space="preserve">selain </w:t>
      </w:r>
      <w:r w:rsidRPr="00FB4041">
        <w:rPr>
          <w:lang w:val="en-US"/>
        </w:rPr>
        <w:t xml:space="preserve">berpedoman pada patokan petitum, hakim </w:t>
      </w:r>
      <w:r w:rsidR="00302B31">
        <w:rPr>
          <w:lang w:val="en-US"/>
        </w:rPr>
        <w:t xml:space="preserve">juga harus </w:t>
      </w:r>
      <w:r w:rsidRPr="00FB4041">
        <w:rPr>
          <w:lang w:val="en-US"/>
        </w:rPr>
        <w:t xml:space="preserve">berpedoman pada asas </w:t>
      </w:r>
      <w:r w:rsidRPr="00FB4041">
        <w:rPr>
          <w:i/>
          <w:lang w:val="en-US"/>
        </w:rPr>
        <w:t>ultra petitum partium</w:t>
      </w:r>
      <w:r w:rsidRPr="00FB4041">
        <w:rPr>
          <w:lang w:val="en-US"/>
        </w:rPr>
        <w:t xml:space="preserve"> atau </w:t>
      </w:r>
      <w:r w:rsidRPr="00FB4041">
        <w:rPr>
          <w:i/>
          <w:lang w:val="en-US"/>
        </w:rPr>
        <w:t>ultra vires</w:t>
      </w:r>
      <w:r w:rsidRPr="00FB4041">
        <w:rPr>
          <w:lang w:val="en-US"/>
        </w:rPr>
        <w:t xml:space="preserve"> yang digariskan pada </w:t>
      </w:r>
      <w:r w:rsidR="00A97C0C">
        <w:rPr>
          <w:lang w:val="en-US"/>
        </w:rPr>
        <w:t>Pasal</w:t>
      </w:r>
      <w:r w:rsidRPr="00FB4041">
        <w:rPr>
          <w:lang w:val="en-US"/>
        </w:rPr>
        <w:t xml:space="preserve"> 178 ayat 3 HIR / </w:t>
      </w:r>
      <w:r w:rsidR="00A97C0C">
        <w:rPr>
          <w:lang w:val="en-US"/>
        </w:rPr>
        <w:t>Pasal</w:t>
      </w:r>
      <w:r w:rsidRPr="00FB4041">
        <w:rPr>
          <w:lang w:val="en-US"/>
        </w:rPr>
        <w:t xml:space="preserve"> 189 ayat 3 RB.g, yaitu </w:t>
      </w:r>
      <w:r w:rsidR="00240CF0">
        <w:rPr>
          <w:lang w:val="en-US"/>
        </w:rPr>
        <w:t>“</w:t>
      </w:r>
      <w:r w:rsidRPr="00FB4041">
        <w:rPr>
          <w:lang w:val="en-US"/>
        </w:rPr>
        <w:t>pengabulan gugat</w:t>
      </w:r>
      <w:r w:rsidR="00302B31">
        <w:rPr>
          <w:lang w:val="en-US"/>
        </w:rPr>
        <w:t>an</w:t>
      </w:r>
      <w:r w:rsidRPr="00FB4041">
        <w:rPr>
          <w:lang w:val="en-US"/>
        </w:rPr>
        <w:t xml:space="preserve"> tidak boleh melebihi dari apa yang diminta dalam gugatan</w:t>
      </w:r>
      <w:r w:rsidR="00240CF0">
        <w:rPr>
          <w:lang w:val="en-US"/>
        </w:rPr>
        <w:t>”</w:t>
      </w:r>
      <w:r w:rsidRPr="00FB4041">
        <w:rPr>
          <w:lang w:val="en-US"/>
        </w:rPr>
        <w:t>.</w:t>
      </w:r>
      <w:r>
        <w:rPr>
          <w:rStyle w:val="FootnoteReference"/>
          <w:lang w:val="en-US"/>
        </w:rPr>
        <w:footnoteReference w:id="7"/>
      </w:r>
      <w:r w:rsidRPr="00FB4041">
        <w:rPr>
          <w:lang w:val="en-US"/>
        </w:rPr>
        <w:t xml:space="preserve"> Akan tetapi</w:t>
      </w:r>
      <w:r w:rsidR="00A97C0C">
        <w:rPr>
          <w:lang w:val="en-US"/>
        </w:rPr>
        <w:t>,</w:t>
      </w:r>
      <w:r w:rsidRPr="00FB4041">
        <w:rPr>
          <w:lang w:val="en-US"/>
        </w:rPr>
        <w:t xml:space="preserve"> dalam </w:t>
      </w:r>
      <w:r w:rsidR="00302B31">
        <w:rPr>
          <w:lang w:val="en-US"/>
        </w:rPr>
        <w:t xml:space="preserve">observasi penulis terhadap dokumen </w:t>
      </w:r>
      <w:r w:rsidRPr="00FB4041">
        <w:rPr>
          <w:lang w:val="en-US"/>
        </w:rPr>
        <w:t xml:space="preserve">putusan Pengadilan Agama </w:t>
      </w:r>
      <w:r>
        <w:rPr>
          <w:lang w:val="en-US"/>
        </w:rPr>
        <w:t>Kendari</w:t>
      </w:r>
      <w:r w:rsidRPr="00FB4041">
        <w:rPr>
          <w:lang w:val="en-US"/>
        </w:rPr>
        <w:t xml:space="preserve"> No. 0495/Pdt.G/200</w:t>
      </w:r>
      <w:r>
        <w:rPr>
          <w:lang w:val="en-US"/>
        </w:rPr>
        <w:t>9</w:t>
      </w:r>
      <w:r w:rsidRPr="00FB4041">
        <w:rPr>
          <w:lang w:val="en-US"/>
        </w:rPr>
        <w:t xml:space="preserve"> yang merupakan gugatan cerai murni, dalam putusannya tidak sesuai dengan undang-undang tersebut. Ketidaksesuai</w:t>
      </w:r>
      <w:r w:rsidR="00302B31">
        <w:rPr>
          <w:lang w:val="en-US"/>
        </w:rPr>
        <w:t>a</w:t>
      </w:r>
      <w:r w:rsidRPr="00FB4041">
        <w:rPr>
          <w:lang w:val="en-US"/>
        </w:rPr>
        <w:t xml:space="preserve">n tersebut </w:t>
      </w:r>
      <w:r w:rsidR="008C76D0">
        <w:rPr>
          <w:lang w:val="en-US"/>
        </w:rPr>
        <w:t xml:space="preserve">terletak pada amar putusan hakim yang melebihi dari apa yang diminta dalam gugatan atau mengandung asas </w:t>
      </w:r>
      <w:r w:rsidR="008C76D0">
        <w:rPr>
          <w:i/>
          <w:lang w:val="en-US"/>
        </w:rPr>
        <w:t>ultra petitum partium</w:t>
      </w:r>
      <w:r w:rsidR="008C76D0">
        <w:rPr>
          <w:lang w:val="en-US"/>
        </w:rPr>
        <w:t xml:space="preserve">. Secara detail, dapat dijelaskan bahwa </w:t>
      </w:r>
      <w:r w:rsidRPr="00FB4041">
        <w:rPr>
          <w:lang w:val="en-US"/>
        </w:rPr>
        <w:t xml:space="preserve">petitum yang dituntut penggugat (primer) berisi mengabulkan gugatan penggugat, menyatakan perkawinan antara Penggugat dan Tergugat putus karena perceraian dan beban biaya perkara sesuai peraturan yang berlaku. </w:t>
      </w:r>
      <w:r w:rsidR="008C76D0">
        <w:rPr>
          <w:lang w:val="en-US"/>
        </w:rPr>
        <w:lastRenderedPageBreak/>
        <w:t>Namun dalam putusan</w:t>
      </w:r>
      <w:r>
        <w:rPr>
          <w:lang w:val="en-US"/>
        </w:rPr>
        <w:t xml:space="preserve"> No. 0495/Pdt.G/2009</w:t>
      </w:r>
      <w:r w:rsidRPr="00FB4041">
        <w:rPr>
          <w:lang w:val="en-US"/>
        </w:rPr>
        <w:t xml:space="preserve"> hakim memutuskan lebih dari yang diminta</w:t>
      </w:r>
      <w:r w:rsidR="00980750">
        <w:rPr>
          <w:lang w:val="en-US"/>
        </w:rPr>
        <w:t>,</w:t>
      </w:r>
      <w:r w:rsidRPr="00FB4041">
        <w:rPr>
          <w:lang w:val="en-US"/>
        </w:rPr>
        <w:t xml:space="preserve"> </w:t>
      </w:r>
      <w:r w:rsidR="008C76D0">
        <w:rPr>
          <w:lang w:val="en-US"/>
        </w:rPr>
        <w:t xml:space="preserve">dengan membebankan kewajiban kepada mantan suami untuk memberikan nafkah iddah kepada mantan isteri dan </w:t>
      </w:r>
      <w:r w:rsidR="008C76D0" w:rsidRPr="00980750">
        <w:rPr>
          <w:i/>
          <w:lang w:val="en-US"/>
        </w:rPr>
        <w:t>hadhonah</w:t>
      </w:r>
      <w:r w:rsidR="008C76D0">
        <w:rPr>
          <w:lang w:val="en-US"/>
        </w:rPr>
        <w:t xml:space="preserve"> kepada anak hasil pernikahan mereka. </w:t>
      </w:r>
      <w:r w:rsidR="00980750">
        <w:rPr>
          <w:lang w:val="en-US"/>
        </w:rPr>
        <w:t xml:space="preserve">Putusan ini jelas mengandung </w:t>
      </w:r>
      <w:r w:rsidRPr="00FB4041">
        <w:rPr>
          <w:lang w:val="en-US"/>
        </w:rPr>
        <w:t xml:space="preserve">asas </w:t>
      </w:r>
      <w:r w:rsidRPr="00E5005E">
        <w:rPr>
          <w:i/>
          <w:lang w:val="en-US"/>
        </w:rPr>
        <w:t>ultra petitum partium</w:t>
      </w:r>
      <w:r w:rsidRPr="00FB4041">
        <w:rPr>
          <w:lang w:val="en-US"/>
        </w:rPr>
        <w:t xml:space="preserve"> </w:t>
      </w:r>
      <w:r w:rsidR="00980750">
        <w:rPr>
          <w:lang w:val="en-US"/>
        </w:rPr>
        <w:t>karena nafkah isteri dan nafkah anak tidak dimuat dalam petitum, s</w:t>
      </w:r>
      <w:r w:rsidRPr="00FB4041">
        <w:rPr>
          <w:lang w:val="en-US"/>
        </w:rPr>
        <w:t xml:space="preserve">ehingga ada penyelewengan peraturan yang tidak sesuai </w:t>
      </w:r>
      <w:r w:rsidR="00A97C0C">
        <w:rPr>
          <w:lang w:val="en-US"/>
        </w:rPr>
        <w:t>Pasal</w:t>
      </w:r>
      <w:r w:rsidRPr="00FB4041">
        <w:rPr>
          <w:lang w:val="en-US"/>
        </w:rPr>
        <w:t xml:space="preserve"> 178 ayat 3 HIR/</w:t>
      </w:r>
      <w:r w:rsidR="00A97C0C">
        <w:rPr>
          <w:lang w:val="en-US"/>
        </w:rPr>
        <w:t>Pasal</w:t>
      </w:r>
      <w:r w:rsidRPr="00FB4041">
        <w:rPr>
          <w:lang w:val="en-US"/>
        </w:rPr>
        <w:t xml:space="preserve"> 189 ayat 3 RB.g yaitu tentang nafkah mut’ah dan nafkah anak. </w:t>
      </w:r>
    </w:p>
    <w:p w:rsidR="00E5005E" w:rsidRPr="00E5005E" w:rsidRDefault="00FB4041" w:rsidP="00E5005E">
      <w:pPr>
        <w:pStyle w:val="ListParagraph"/>
        <w:ind w:left="426" w:firstLine="850"/>
        <w:jc w:val="both"/>
        <w:rPr>
          <w:lang w:val="en-US"/>
        </w:rPr>
      </w:pPr>
      <w:r w:rsidRPr="00FB4041">
        <w:rPr>
          <w:lang w:val="en-US"/>
        </w:rPr>
        <w:t xml:space="preserve">Perkara tersebut menarik untuk dikaji karena hakim memutuskan gugatan yang tidak diminta oleh penggugat, dalam hal nafkah mut’ah dan nafkah anak. Oleh karena itu, </w:t>
      </w:r>
      <w:r w:rsidR="008D41BA">
        <w:rPr>
          <w:lang w:val="en-US"/>
        </w:rPr>
        <w:t xml:space="preserve">perlu ada penelusuran dan </w:t>
      </w:r>
      <w:r w:rsidRPr="00FB4041">
        <w:rPr>
          <w:lang w:val="en-US"/>
        </w:rPr>
        <w:t xml:space="preserve">penelitian hukum terkait dengan landasan hukum yang dijadikan pertimbangan majelis hakim dalam putusan tersebut. </w:t>
      </w:r>
      <w:r w:rsidR="008D41BA">
        <w:rPr>
          <w:lang w:val="en-US"/>
        </w:rPr>
        <w:t xml:space="preserve">Hal inilah yang mendorong </w:t>
      </w:r>
      <w:r w:rsidRPr="00FB4041">
        <w:rPr>
          <w:lang w:val="en-US"/>
        </w:rPr>
        <w:t xml:space="preserve">penulis tertarik untuk melakukan penelitian dengan mengambil judul </w:t>
      </w:r>
      <w:r w:rsidRPr="00E5005E">
        <w:rPr>
          <w:lang w:val="en-US"/>
        </w:rPr>
        <w:t>“</w:t>
      </w:r>
      <w:r w:rsidR="00E5005E" w:rsidRPr="00E5005E">
        <w:rPr>
          <w:rFonts w:cs="Times New Roman"/>
          <w:szCs w:val="24"/>
          <w:lang w:val="en-US"/>
        </w:rPr>
        <w:t xml:space="preserve">Tinjauan Hukum Islam Terhadap Putusan Pengadilan Agama Tentang Pemberian Nafkah Iddah Pada Mantan Isteri  (Studi Kasus Putusan Pengadilan Agama  No. </w:t>
      </w:r>
      <w:r w:rsidR="00E5005E" w:rsidRPr="00E5005E">
        <w:rPr>
          <w:szCs w:val="24"/>
          <w:lang w:val="en-US"/>
        </w:rPr>
        <w:t>0495/Pdt.G/2009)”</w:t>
      </w:r>
    </w:p>
    <w:p w:rsidR="00E5005E" w:rsidRDefault="00E5005E" w:rsidP="00E5005E">
      <w:pPr>
        <w:pStyle w:val="ListParagraph"/>
        <w:spacing w:line="240" w:lineRule="auto"/>
        <w:ind w:left="426" w:firstLine="850"/>
        <w:jc w:val="both"/>
        <w:rPr>
          <w:lang w:val="en-US"/>
        </w:rPr>
      </w:pPr>
    </w:p>
    <w:p w:rsidR="00D878DE" w:rsidRDefault="00D878DE" w:rsidP="00D878DE">
      <w:pPr>
        <w:pStyle w:val="ListParagraph"/>
        <w:numPr>
          <w:ilvl w:val="0"/>
          <w:numId w:val="8"/>
        </w:numPr>
        <w:ind w:left="426" w:hanging="426"/>
        <w:jc w:val="both"/>
        <w:rPr>
          <w:b/>
          <w:lang w:val="en-US"/>
        </w:rPr>
      </w:pPr>
      <w:r w:rsidRPr="00DE0EB5">
        <w:rPr>
          <w:b/>
          <w:lang w:val="en-US"/>
        </w:rPr>
        <w:t>Rumusan Masalah</w:t>
      </w:r>
    </w:p>
    <w:p w:rsidR="00DE0EB5" w:rsidRPr="00DE0EB5" w:rsidRDefault="00DE0EB5" w:rsidP="00DE0EB5">
      <w:pPr>
        <w:pStyle w:val="ListParagraph"/>
        <w:ind w:left="426" w:firstLine="850"/>
        <w:jc w:val="both"/>
        <w:rPr>
          <w:lang w:val="en-US"/>
        </w:rPr>
      </w:pPr>
      <w:r w:rsidRPr="00DE0EB5">
        <w:rPr>
          <w:lang w:val="en-US"/>
        </w:rPr>
        <w:t xml:space="preserve">Dari latar belakang </w:t>
      </w:r>
      <w:r w:rsidR="00240CF0">
        <w:rPr>
          <w:lang w:val="en-US"/>
        </w:rPr>
        <w:t>di atas</w:t>
      </w:r>
      <w:r w:rsidRPr="00DE0EB5">
        <w:rPr>
          <w:lang w:val="en-US"/>
        </w:rPr>
        <w:t xml:space="preserve"> maka dapat dirumuskan permasalahan </w:t>
      </w:r>
      <w:r w:rsidR="00E5005E">
        <w:rPr>
          <w:lang w:val="en-US"/>
        </w:rPr>
        <w:tab/>
        <w:t>penelitian ini sebagai beriku:</w:t>
      </w:r>
      <w:r w:rsidRPr="00DE0EB5">
        <w:rPr>
          <w:lang w:val="en-US"/>
        </w:rPr>
        <w:t xml:space="preserve"> </w:t>
      </w:r>
    </w:p>
    <w:p w:rsidR="00DE0EB5" w:rsidRPr="00DE0EB5" w:rsidRDefault="00DE0EB5" w:rsidP="00DE0EB5">
      <w:pPr>
        <w:pStyle w:val="ListParagraph"/>
        <w:numPr>
          <w:ilvl w:val="1"/>
          <w:numId w:val="10"/>
        </w:numPr>
        <w:ind w:left="1276"/>
        <w:jc w:val="both"/>
        <w:rPr>
          <w:lang w:val="en-US"/>
        </w:rPr>
      </w:pPr>
      <w:r w:rsidRPr="00DE0EB5">
        <w:rPr>
          <w:lang w:val="en-US"/>
        </w:rPr>
        <w:t>Bagaimana pertimbangan h</w:t>
      </w:r>
      <w:r w:rsidR="008340B5">
        <w:rPr>
          <w:lang w:val="en-US"/>
        </w:rPr>
        <w:t>akim</w:t>
      </w:r>
      <w:r w:rsidRPr="00DE0EB5">
        <w:rPr>
          <w:lang w:val="en-US"/>
        </w:rPr>
        <w:t xml:space="preserve"> </w:t>
      </w:r>
      <w:r w:rsidR="00DB0EB4">
        <w:rPr>
          <w:lang w:val="en-US"/>
        </w:rPr>
        <w:t xml:space="preserve">Pengadilan Agama Kendari </w:t>
      </w:r>
      <w:r w:rsidRPr="00DE0EB5">
        <w:rPr>
          <w:lang w:val="en-US"/>
        </w:rPr>
        <w:t>dalam memutus perkara No. 0495/ Pdt.G/200</w:t>
      </w:r>
      <w:r>
        <w:rPr>
          <w:lang w:val="en-US"/>
        </w:rPr>
        <w:t>9</w:t>
      </w:r>
      <w:r w:rsidRPr="00DE0EB5">
        <w:rPr>
          <w:lang w:val="en-US"/>
        </w:rPr>
        <w:t>/ PA.</w:t>
      </w:r>
      <w:r>
        <w:rPr>
          <w:lang w:val="en-US"/>
        </w:rPr>
        <w:t>Kdi</w:t>
      </w:r>
      <w:r w:rsidRPr="00DE0EB5">
        <w:rPr>
          <w:lang w:val="en-US"/>
        </w:rPr>
        <w:t xml:space="preserve"> tentang </w:t>
      </w:r>
      <w:r w:rsidR="00DB0EB4">
        <w:rPr>
          <w:lang w:val="en-US"/>
        </w:rPr>
        <w:t>pemberian nafkah iddah pada mantan isteri</w:t>
      </w:r>
      <w:r w:rsidR="00E5005E">
        <w:rPr>
          <w:lang w:val="en-US"/>
        </w:rPr>
        <w:t>?</w:t>
      </w:r>
      <w:r w:rsidRPr="00DE0EB5">
        <w:rPr>
          <w:lang w:val="en-US"/>
        </w:rPr>
        <w:t xml:space="preserve"> </w:t>
      </w:r>
    </w:p>
    <w:p w:rsidR="00DE0EB5" w:rsidRDefault="00DE0EB5" w:rsidP="00DE0EB5">
      <w:pPr>
        <w:pStyle w:val="ListParagraph"/>
        <w:numPr>
          <w:ilvl w:val="1"/>
          <w:numId w:val="10"/>
        </w:numPr>
        <w:ind w:left="1276"/>
        <w:jc w:val="both"/>
        <w:rPr>
          <w:lang w:val="en-US"/>
        </w:rPr>
      </w:pPr>
      <w:r w:rsidRPr="00DE0EB5">
        <w:rPr>
          <w:lang w:val="en-US"/>
        </w:rPr>
        <w:lastRenderedPageBreak/>
        <w:t xml:space="preserve">Bagaimana tinjauan </w:t>
      </w:r>
      <w:r w:rsidR="00302B31">
        <w:rPr>
          <w:lang w:val="en-US"/>
        </w:rPr>
        <w:t>h</w:t>
      </w:r>
      <w:r w:rsidRPr="00DE0EB5">
        <w:rPr>
          <w:lang w:val="en-US"/>
        </w:rPr>
        <w:t>ukum Islam terhadap dasar pertimbangan hukum putusan No. 0495/ Pdt.G/200</w:t>
      </w:r>
      <w:r>
        <w:rPr>
          <w:lang w:val="en-US"/>
        </w:rPr>
        <w:t>9</w:t>
      </w:r>
      <w:r w:rsidRPr="00DE0EB5">
        <w:rPr>
          <w:lang w:val="en-US"/>
        </w:rPr>
        <w:t>/ PA.</w:t>
      </w:r>
      <w:r>
        <w:rPr>
          <w:lang w:val="en-US"/>
        </w:rPr>
        <w:t>Kdi</w:t>
      </w:r>
      <w:r w:rsidR="00E5005E">
        <w:rPr>
          <w:lang w:val="en-US"/>
        </w:rPr>
        <w:t>. di Pengadilan Agama Kendari?</w:t>
      </w:r>
    </w:p>
    <w:p w:rsidR="00DE0EB5" w:rsidRDefault="00DE0EB5" w:rsidP="00240CF0">
      <w:pPr>
        <w:pStyle w:val="ListParagraph"/>
        <w:spacing w:line="240" w:lineRule="auto"/>
        <w:ind w:left="426" w:firstLine="850"/>
        <w:jc w:val="both"/>
        <w:rPr>
          <w:lang w:val="en-US"/>
        </w:rPr>
      </w:pPr>
    </w:p>
    <w:p w:rsidR="00DE0EB5" w:rsidRDefault="00626B75" w:rsidP="00D878DE">
      <w:pPr>
        <w:pStyle w:val="ListParagraph"/>
        <w:numPr>
          <w:ilvl w:val="0"/>
          <w:numId w:val="8"/>
        </w:numPr>
        <w:ind w:left="426" w:hanging="426"/>
        <w:jc w:val="both"/>
        <w:rPr>
          <w:b/>
          <w:lang w:val="en-US"/>
        </w:rPr>
      </w:pPr>
      <w:r>
        <w:rPr>
          <w:b/>
          <w:lang w:val="en-US"/>
        </w:rPr>
        <w:t>Tujuan Penelitian</w:t>
      </w:r>
    </w:p>
    <w:p w:rsidR="00E5005E" w:rsidRDefault="00E5005E" w:rsidP="00E5005E">
      <w:pPr>
        <w:pStyle w:val="ListParagraph"/>
        <w:ind w:left="426" w:firstLine="850"/>
        <w:jc w:val="both"/>
        <w:rPr>
          <w:lang w:val="en-US"/>
        </w:rPr>
      </w:pPr>
      <w:r>
        <w:rPr>
          <w:lang w:val="en-US"/>
        </w:rPr>
        <w:t>Tujuan penelitian ini adalah :</w:t>
      </w:r>
    </w:p>
    <w:p w:rsidR="00E5005E" w:rsidRDefault="00E5005E" w:rsidP="00E5005E">
      <w:pPr>
        <w:pStyle w:val="ListParagraph"/>
        <w:numPr>
          <w:ilvl w:val="0"/>
          <w:numId w:val="11"/>
        </w:numPr>
        <w:ind w:left="1276"/>
        <w:jc w:val="both"/>
        <w:rPr>
          <w:lang w:val="en-US"/>
        </w:rPr>
      </w:pPr>
      <w:r>
        <w:rPr>
          <w:lang w:val="en-US"/>
        </w:rPr>
        <w:t xml:space="preserve">Untuk mengetahui </w:t>
      </w:r>
      <w:r w:rsidRPr="00DE0EB5">
        <w:rPr>
          <w:lang w:val="en-US"/>
        </w:rPr>
        <w:t xml:space="preserve">pertimbangan </w:t>
      </w:r>
      <w:r w:rsidR="008340B5">
        <w:rPr>
          <w:lang w:val="en-US"/>
        </w:rPr>
        <w:t xml:space="preserve">hakim </w:t>
      </w:r>
      <w:r w:rsidRPr="00DE0EB5">
        <w:rPr>
          <w:lang w:val="en-US"/>
        </w:rPr>
        <w:t>dalam memutus perkara No. 0495/ Pdt.G/200</w:t>
      </w:r>
      <w:r>
        <w:rPr>
          <w:lang w:val="en-US"/>
        </w:rPr>
        <w:t>9</w:t>
      </w:r>
      <w:r w:rsidRPr="00DE0EB5">
        <w:rPr>
          <w:lang w:val="en-US"/>
        </w:rPr>
        <w:t>/ PA.</w:t>
      </w:r>
      <w:r>
        <w:rPr>
          <w:lang w:val="en-US"/>
        </w:rPr>
        <w:t>Kdi</w:t>
      </w:r>
      <w:r w:rsidRPr="00DE0EB5">
        <w:rPr>
          <w:lang w:val="en-US"/>
        </w:rPr>
        <w:t xml:space="preserve"> tentang cerai gugat di Pengadilan Agama </w:t>
      </w:r>
      <w:r>
        <w:rPr>
          <w:lang w:val="en-US"/>
        </w:rPr>
        <w:t>Kendari</w:t>
      </w:r>
      <w:r w:rsidRPr="00DE0EB5">
        <w:rPr>
          <w:lang w:val="en-US"/>
        </w:rPr>
        <w:t xml:space="preserve">. </w:t>
      </w:r>
    </w:p>
    <w:p w:rsidR="00E5005E" w:rsidRPr="00E5005E" w:rsidRDefault="00E5005E" w:rsidP="00E5005E">
      <w:pPr>
        <w:pStyle w:val="ListParagraph"/>
        <w:numPr>
          <w:ilvl w:val="0"/>
          <w:numId w:val="11"/>
        </w:numPr>
        <w:ind w:left="1276"/>
        <w:jc w:val="both"/>
        <w:rPr>
          <w:lang w:val="en-US"/>
        </w:rPr>
      </w:pPr>
      <w:r>
        <w:rPr>
          <w:lang w:val="en-US"/>
        </w:rPr>
        <w:t xml:space="preserve">Untuk mendeskripsikan </w:t>
      </w:r>
      <w:r w:rsidRPr="00E5005E">
        <w:rPr>
          <w:lang w:val="en-US"/>
        </w:rPr>
        <w:t xml:space="preserve">tinjauan Hukum Islam terhadap dasar pertimbangan hukum </w:t>
      </w:r>
      <w:r w:rsidR="00302B31">
        <w:rPr>
          <w:lang w:val="en-US"/>
        </w:rPr>
        <w:t xml:space="preserve">dalam </w:t>
      </w:r>
      <w:r w:rsidRPr="00E5005E">
        <w:rPr>
          <w:lang w:val="en-US"/>
        </w:rPr>
        <w:t>putusan No. 0495/ Pdt.G/2009/ PA.Kdi</w:t>
      </w:r>
      <w:r>
        <w:rPr>
          <w:lang w:val="en-US"/>
        </w:rPr>
        <w:t xml:space="preserve"> di Pengadilan Agama Kendari</w:t>
      </w:r>
    </w:p>
    <w:p w:rsidR="00E5005E" w:rsidRPr="00E5005E" w:rsidRDefault="00E5005E" w:rsidP="00E5005E">
      <w:pPr>
        <w:pStyle w:val="ListParagraph"/>
        <w:spacing w:line="240" w:lineRule="auto"/>
        <w:ind w:left="426" w:firstLine="850"/>
        <w:jc w:val="both"/>
        <w:rPr>
          <w:lang w:val="en-US"/>
        </w:rPr>
      </w:pPr>
    </w:p>
    <w:p w:rsidR="00626B75" w:rsidRDefault="00626B75" w:rsidP="00D878DE">
      <w:pPr>
        <w:pStyle w:val="ListParagraph"/>
        <w:numPr>
          <w:ilvl w:val="0"/>
          <w:numId w:val="8"/>
        </w:numPr>
        <w:ind w:left="426" w:hanging="426"/>
        <w:jc w:val="both"/>
        <w:rPr>
          <w:b/>
          <w:lang w:val="en-US"/>
        </w:rPr>
      </w:pPr>
      <w:r>
        <w:rPr>
          <w:b/>
          <w:lang w:val="en-US"/>
        </w:rPr>
        <w:t xml:space="preserve">Manfaat Penelitian </w:t>
      </w:r>
    </w:p>
    <w:p w:rsidR="00E5005E" w:rsidRDefault="00E5005E" w:rsidP="00E5005E">
      <w:pPr>
        <w:pStyle w:val="ListParagraph"/>
        <w:ind w:left="426" w:firstLine="850"/>
        <w:jc w:val="both"/>
        <w:rPr>
          <w:lang w:val="en-US"/>
        </w:rPr>
      </w:pPr>
      <w:r>
        <w:rPr>
          <w:lang w:val="en-US"/>
        </w:rPr>
        <w:t xml:space="preserve">Dari penelitian ini diharapkan dapat diperoleh manfaat sebagai berikut: </w:t>
      </w:r>
    </w:p>
    <w:p w:rsidR="00665631" w:rsidRDefault="00665631" w:rsidP="00665631">
      <w:pPr>
        <w:pStyle w:val="ListParagraph"/>
        <w:numPr>
          <w:ilvl w:val="2"/>
          <w:numId w:val="10"/>
        </w:numPr>
        <w:ind w:left="709" w:hanging="283"/>
        <w:jc w:val="both"/>
        <w:rPr>
          <w:lang w:val="en-US"/>
        </w:rPr>
      </w:pPr>
      <w:r>
        <w:rPr>
          <w:lang w:val="en-US"/>
        </w:rPr>
        <w:t>Manfaat Teoritis</w:t>
      </w:r>
    </w:p>
    <w:p w:rsidR="00E5005E" w:rsidRDefault="00665631" w:rsidP="00665631">
      <w:pPr>
        <w:pStyle w:val="ListParagraph"/>
        <w:ind w:left="426" w:firstLine="850"/>
        <w:jc w:val="both"/>
        <w:rPr>
          <w:lang w:val="en-US"/>
        </w:rPr>
      </w:pPr>
      <w:r>
        <w:rPr>
          <w:lang w:val="en-US"/>
        </w:rPr>
        <w:t>Secara teoritis, p</w:t>
      </w:r>
      <w:r w:rsidRPr="00665631">
        <w:rPr>
          <w:lang w:val="en-US"/>
        </w:rPr>
        <w:t xml:space="preserve">enelitian ini diharapkan dapat menjadi bahan informasi terhadap kajian akademis sekaligus sebagai masukan bagi penelitian yang lain dalam tema yang berkaitan, sehingga bisa dijadikan salah satu referensi bagi peneliti berikutnya.  Selain itu penelitian ini diharapkan dapat digunakan sebagai bahan pengetahuan tentang </w:t>
      </w:r>
      <w:r>
        <w:rPr>
          <w:lang w:val="en-US"/>
        </w:rPr>
        <w:t xml:space="preserve">dalam memahami </w:t>
      </w:r>
      <w:r w:rsidRPr="00665631">
        <w:rPr>
          <w:lang w:val="en-US"/>
        </w:rPr>
        <w:t>fenomena cerai gugat</w:t>
      </w:r>
      <w:r>
        <w:rPr>
          <w:lang w:val="en-US"/>
        </w:rPr>
        <w:t>.</w:t>
      </w:r>
    </w:p>
    <w:p w:rsidR="00240CF0" w:rsidRDefault="00240CF0" w:rsidP="00665631">
      <w:pPr>
        <w:pStyle w:val="ListParagraph"/>
        <w:ind w:left="426" w:firstLine="850"/>
        <w:jc w:val="both"/>
        <w:rPr>
          <w:lang w:val="en-US"/>
        </w:rPr>
      </w:pPr>
    </w:p>
    <w:p w:rsidR="00240CF0" w:rsidRDefault="00240CF0" w:rsidP="00665631">
      <w:pPr>
        <w:pStyle w:val="ListParagraph"/>
        <w:ind w:left="426" w:firstLine="850"/>
        <w:jc w:val="both"/>
        <w:rPr>
          <w:lang w:val="en-US"/>
        </w:rPr>
      </w:pPr>
    </w:p>
    <w:p w:rsidR="00240CF0" w:rsidRDefault="00240CF0" w:rsidP="00665631">
      <w:pPr>
        <w:pStyle w:val="ListParagraph"/>
        <w:ind w:left="426" w:firstLine="850"/>
        <w:jc w:val="both"/>
        <w:rPr>
          <w:lang w:val="en-US"/>
        </w:rPr>
      </w:pPr>
    </w:p>
    <w:p w:rsidR="00665631" w:rsidRDefault="00665631" w:rsidP="00665631">
      <w:pPr>
        <w:pStyle w:val="ListParagraph"/>
        <w:numPr>
          <w:ilvl w:val="2"/>
          <w:numId w:val="10"/>
        </w:numPr>
        <w:ind w:left="709" w:hanging="283"/>
        <w:jc w:val="both"/>
        <w:rPr>
          <w:lang w:val="en-US"/>
        </w:rPr>
      </w:pPr>
      <w:r>
        <w:rPr>
          <w:lang w:val="en-US"/>
        </w:rPr>
        <w:lastRenderedPageBreak/>
        <w:t>Manfaat Praktis</w:t>
      </w:r>
    </w:p>
    <w:p w:rsidR="00665631" w:rsidRPr="00033B98" w:rsidRDefault="00033B98" w:rsidP="00033B98">
      <w:pPr>
        <w:pStyle w:val="ListParagraph"/>
        <w:ind w:left="426" w:firstLine="850"/>
        <w:jc w:val="both"/>
        <w:rPr>
          <w:lang w:val="en-US"/>
        </w:rPr>
      </w:pPr>
      <w:r>
        <w:rPr>
          <w:lang w:val="en-US"/>
        </w:rPr>
        <w:t>Secara praktis, penelitian ini diharapkan dapat bermanfaat sebagai berikut:</w:t>
      </w:r>
    </w:p>
    <w:p w:rsidR="00665631" w:rsidRPr="00033B98" w:rsidRDefault="00665631" w:rsidP="00033B98">
      <w:pPr>
        <w:pStyle w:val="ListParagraph"/>
        <w:numPr>
          <w:ilvl w:val="0"/>
          <w:numId w:val="12"/>
        </w:numPr>
        <w:autoSpaceDE w:val="0"/>
        <w:autoSpaceDN w:val="0"/>
        <w:adjustRightInd w:val="0"/>
        <w:ind w:left="1276"/>
        <w:jc w:val="both"/>
        <w:rPr>
          <w:rFonts w:cs="Times New Roman"/>
          <w:szCs w:val="24"/>
          <w:lang w:val="en-US"/>
        </w:rPr>
      </w:pPr>
      <w:r w:rsidRPr="00033B98">
        <w:rPr>
          <w:rFonts w:cs="Times New Roman"/>
          <w:szCs w:val="24"/>
          <w:lang w:val="en-US"/>
        </w:rPr>
        <w:t>Sebagai bahan masukan bagi badan pembuat undang-undang perkawinan</w:t>
      </w:r>
      <w:r w:rsidR="00033B98" w:rsidRPr="00033B98">
        <w:rPr>
          <w:rFonts w:cs="Times New Roman"/>
          <w:szCs w:val="24"/>
          <w:lang w:val="en-US"/>
        </w:rPr>
        <w:t xml:space="preserve"> </w:t>
      </w:r>
      <w:r w:rsidRPr="00033B98">
        <w:rPr>
          <w:rFonts w:cs="Times New Roman"/>
          <w:szCs w:val="24"/>
          <w:lang w:val="en-US"/>
        </w:rPr>
        <w:t>mengenai alasan perceraian.</w:t>
      </w:r>
    </w:p>
    <w:p w:rsidR="00665631" w:rsidRPr="00033B98" w:rsidRDefault="00665631" w:rsidP="00033B98">
      <w:pPr>
        <w:pStyle w:val="ListParagraph"/>
        <w:numPr>
          <w:ilvl w:val="0"/>
          <w:numId w:val="12"/>
        </w:numPr>
        <w:autoSpaceDE w:val="0"/>
        <w:autoSpaceDN w:val="0"/>
        <w:adjustRightInd w:val="0"/>
        <w:ind w:left="1276"/>
        <w:jc w:val="both"/>
        <w:rPr>
          <w:rFonts w:cs="Times New Roman"/>
          <w:szCs w:val="24"/>
          <w:lang w:val="en-US"/>
        </w:rPr>
      </w:pPr>
      <w:r w:rsidRPr="00033B98">
        <w:rPr>
          <w:rFonts w:cs="Times New Roman"/>
          <w:szCs w:val="24"/>
          <w:lang w:val="en-US"/>
        </w:rPr>
        <w:t xml:space="preserve">Sebagai bahan wacana dan diskusi bagi para mahasiswa </w:t>
      </w:r>
      <w:r w:rsidR="00A97C0C">
        <w:rPr>
          <w:rFonts w:cs="Times New Roman"/>
          <w:szCs w:val="24"/>
          <w:lang w:val="en-US"/>
        </w:rPr>
        <w:t xml:space="preserve">Jurusan </w:t>
      </w:r>
      <w:r w:rsidRPr="00033B98">
        <w:rPr>
          <w:rFonts w:cs="Times New Roman"/>
          <w:szCs w:val="24"/>
          <w:lang w:val="en-US"/>
        </w:rPr>
        <w:t xml:space="preserve">Syari’ah </w:t>
      </w:r>
      <w:r w:rsidR="00A97C0C">
        <w:rPr>
          <w:rFonts w:cs="Times New Roman"/>
          <w:szCs w:val="24"/>
          <w:lang w:val="en-US"/>
        </w:rPr>
        <w:t xml:space="preserve">dan Ekonomi Islam Program Studi </w:t>
      </w:r>
      <w:r w:rsidRPr="00033B98">
        <w:rPr>
          <w:rFonts w:cs="Times New Roman"/>
          <w:szCs w:val="24"/>
          <w:lang w:val="en-US"/>
        </w:rPr>
        <w:t xml:space="preserve">al-Ahwal al-Shakhshiyyah </w:t>
      </w:r>
      <w:r w:rsidR="00033B98" w:rsidRPr="00033B98">
        <w:rPr>
          <w:rFonts w:cs="Times New Roman"/>
          <w:szCs w:val="24"/>
          <w:lang w:val="en-US"/>
        </w:rPr>
        <w:t xml:space="preserve">STAIN Sultan Qaimuddin Kendari </w:t>
      </w:r>
      <w:r w:rsidRPr="00033B98">
        <w:rPr>
          <w:rFonts w:cs="Times New Roman"/>
          <w:szCs w:val="24"/>
          <w:lang w:val="en-US"/>
        </w:rPr>
        <w:t>khususnya, serta bagi para masyarakat pada umumnya.</w:t>
      </w:r>
    </w:p>
    <w:p w:rsidR="00665631" w:rsidRPr="00302B31" w:rsidRDefault="00665631" w:rsidP="00033B98">
      <w:pPr>
        <w:pStyle w:val="ListParagraph"/>
        <w:numPr>
          <w:ilvl w:val="0"/>
          <w:numId w:val="12"/>
        </w:numPr>
        <w:ind w:left="1276"/>
        <w:jc w:val="both"/>
        <w:rPr>
          <w:rFonts w:cs="Times New Roman"/>
          <w:lang w:val="en-US"/>
        </w:rPr>
      </w:pPr>
      <w:r w:rsidRPr="00033B98">
        <w:rPr>
          <w:rFonts w:cs="Times New Roman"/>
          <w:szCs w:val="24"/>
          <w:lang w:val="en-US"/>
        </w:rPr>
        <w:t>Sebagai bahan kajian untuk penelitian selanjutnya dengan tema yang sama.</w:t>
      </w:r>
    </w:p>
    <w:p w:rsidR="00302B31" w:rsidRPr="00033B98" w:rsidRDefault="00302B31" w:rsidP="00302B31">
      <w:pPr>
        <w:pStyle w:val="ListParagraph"/>
        <w:spacing w:line="240" w:lineRule="auto"/>
        <w:ind w:left="1276"/>
        <w:jc w:val="both"/>
        <w:rPr>
          <w:rFonts w:cs="Times New Roman"/>
          <w:lang w:val="en-US"/>
        </w:rPr>
      </w:pPr>
    </w:p>
    <w:p w:rsidR="00626B75" w:rsidRDefault="00626B75" w:rsidP="00D878DE">
      <w:pPr>
        <w:pStyle w:val="ListParagraph"/>
        <w:numPr>
          <w:ilvl w:val="0"/>
          <w:numId w:val="8"/>
        </w:numPr>
        <w:ind w:left="426" w:hanging="426"/>
        <w:jc w:val="both"/>
        <w:rPr>
          <w:b/>
          <w:lang w:val="en-US"/>
        </w:rPr>
      </w:pPr>
      <w:r>
        <w:rPr>
          <w:b/>
          <w:lang w:val="en-US"/>
        </w:rPr>
        <w:t>Definisi Operasional</w:t>
      </w:r>
      <w:r w:rsidR="00845844">
        <w:rPr>
          <w:b/>
          <w:lang w:val="en-US"/>
        </w:rPr>
        <w:t xml:space="preserve"> </w:t>
      </w:r>
    </w:p>
    <w:p w:rsidR="00845844" w:rsidRDefault="00845844" w:rsidP="00845844">
      <w:pPr>
        <w:pStyle w:val="ListParagraph"/>
        <w:ind w:left="426" w:firstLine="850"/>
        <w:jc w:val="both"/>
        <w:rPr>
          <w:lang w:val="en-US"/>
        </w:rPr>
      </w:pPr>
      <w:r>
        <w:rPr>
          <w:lang w:val="en-US"/>
        </w:rPr>
        <w:t>Dalam definisi operasional ini</w:t>
      </w:r>
      <w:r w:rsidR="00980750">
        <w:rPr>
          <w:lang w:val="en-US"/>
        </w:rPr>
        <w:t>,</w:t>
      </w:r>
      <w:r>
        <w:rPr>
          <w:lang w:val="en-US"/>
        </w:rPr>
        <w:t xml:space="preserve"> peneliti menjabarkan pengertian-pengertian dari kerangka operasional judul penelitian. Hal ini dimaksudkan untuk menghindari kekeliruan dalam memaknai maksud dan tujuan penelitian. </w:t>
      </w:r>
    </w:p>
    <w:p w:rsidR="008340B5" w:rsidRPr="008340B5" w:rsidRDefault="008340B5" w:rsidP="008340B5">
      <w:pPr>
        <w:pStyle w:val="ListParagraph"/>
        <w:numPr>
          <w:ilvl w:val="1"/>
          <w:numId w:val="8"/>
        </w:numPr>
        <w:tabs>
          <w:tab w:val="left" w:pos="851"/>
        </w:tabs>
        <w:ind w:left="1276" w:hanging="425"/>
        <w:jc w:val="both"/>
        <w:rPr>
          <w:lang w:val="en-US"/>
        </w:rPr>
      </w:pPr>
      <w:r>
        <w:rPr>
          <w:rFonts w:ascii="TimesNewRoman" w:cs="TimesNewRoman"/>
          <w:szCs w:val="24"/>
          <w:lang w:val="en-US"/>
        </w:rPr>
        <w:t>Nafkah iddah yang dimaksud dalam penelitian ini adalah santunan yang diberikan oleh suami kepada isteri yang ditalaknya dapat berupa uang atau benda</w:t>
      </w:r>
    </w:p>
    <w:p w:rsidR="00845844" w:rsidRDefault="00845844" w:rsidP="00845844">
      <w:pPr>
        <w:pStyle w:val="ListParagraph"/>
        <w:numPr>
          <w:ilvl w:val="1"/>
          <w:numId w:val="8"/>
        </w:numPr>
        <w:tabs>
          <w:tab w:val="left" w:pos="851"/>
        </w:tabs>
        <w:ind w:left="1276" w:hanging="425"/>
        <w:jc w:val="both"/>
        <w:rPr>
          <w:lang w:val="en-US"/>
        </w:rPr>
      </w:pPr>
      <w:r>
        <w:rPr>
          <w:lang w:val="en-US"/>
        </w:rPr>
        <w:t>Tinjauan hukum Islam yang dimaksud dalam penelitian ini adalah sebuah telaah peristiwa yang dilihat dari perspektif pandangan hukum</w:t>
      </w:r>
      <w:r w:rsidR="00AE33FD">
        <w:rPr>
          <w:lang w:val="en-US"/>
        </w:rPr>
        <w:t xml:space="preserve"> fiqh Islam dan perundang-undangan yang berlaku di </w:t>
      </w:r>
      <w:r w:rsidR="002E6D3E">
        <w:rPr>
          <w:lang w:val="en-US"/>
        </w:rPr>
        <w:t>P</w:t>
      </w:r>
      <w:r w:rsidR="00AE33FD">
        <w:rPr>
          <w:lang w:val="en-US"/>
        </w:rPr>
        <w:t xml:space="preserve">engadilan </w:t>
      </w:r>
      <w:r w:rsidR="002E6D3E">
        <w:rPr>
          <w:lang w:val="en-US"/>
        </w:rPr>
        <w:t>A</w:t>
      </w:r>
      <w:r w:rsidR="00AE33FD">
        <w:rPr>
          <w:lang w:val="en-US"/>
        </w:rPr>
        <w:t>gama</w:t>
      </w:r>
    </w:p>
    <w:p w:rsidR="00845844" w:rsidRPr="00AE33FD" w:rsidRDefault="00845844" w:rsidP="00AE33FD">
      <w:pPr>
        <w:pStyle w:val="ListParagraph"/>
        <w:numPr>
          <w:ilvl w:val="1"/>
          <w:numId w:val="8"/>
        </w:numPr>
        <w:tabs>
          <w:tab w:val="left" w:pos="851"/>
        </w:tabs>
        <w:ind w:left="1276" w:hanging="425"/>
        <w:jc w:val="both"/>
        <w:rPr>
          <w:lang w:val="en-US"/>
        </w:rPr>
      </w:pPr>
      <w:r>
        <w:rPr>
          <w:rFonts w:ascii="TimesNewRoman" w:cs="TimesNewRoman"/>
          <w:szCs w:val="24"/>
          <w:lang w:val="en-US"/>
        </w:rPr>
        <w:lastRenderedPageBreak/>
        <w:t xml:space="preserve">Pengadilan </w:t>
      </w:r>
      <w:r w:rsidR="002E6D3E">
        <w:rPr>
          <w:rFonts w:ascii="TimesNewRoman" w:cs="TimesNewRoman"/>
          <w:szCs w:val="24"/>
          <w:lang w:val="en-US"/>
        </w:rPr>
        <w:t>A</w:t>
      </w:r>
      <w:r>
        <w:rPr>
          <w:rFonts w:ascii="TimesNewRoman" w:cs="TimesNewRoman"/>
          <w:szCs w:val="24"/>
          <w:lang w:val="en-US"/>
        </w:rPr>
        <w:t>gama adalah b</w:t>
      </w:r>
      <w:r w:rsidRPr="00845844">
        <w:rPr>
          <w:rFonts w:ascii="TimesNewRoman" w:cs="TimesNewRoman"/>
          <w:szCs w:val="24"/>
          <w:lang w:val="en-US"/>
        </w:rPr>
        <w:t xml:space="preserve">adan peradilan khusus untuk pemeluk </w:t>
      </w:r>
      <w:r w:rsidR="002E6D3E">
        <w:rPr>
          <w:rFonts w:ascii="TimesNewRoman" w:cs="TimesNewRoman"/>
          <w:szCs w:val="24"/>
          <w:lang w:val="en-US"/>
        </w:rPr>
        <w:t>A</w:t>
      </w:r>
      <w:r w:rsidRPr="00845844">
        <w:rPr>
          <w:rFonts w:ascii="TimesNewRoman" w:cs="TimesNewRoman"/>
          <w:szCs w:val="24"/>
          <w:lang w:val="en-US"/>
        </w:rPr>
        <w:t>gama Islam yang memeriksa dan memutuskan perkara perceraian, talak dan sebagainya, sesuai dengan undang-undang yang berlaku</w:t>
      </w:r>
      <w:r w:rsidR="00A97C0C">
        <w:rPr>
          <w:rFonts w:ascii="TimesNewRoman" w:cs="TimesNewRoman"/>
          <w:szCs w:val="24"/>
          <w:lang w:val="en-US"/>
        </w:rPr>
        <w:t xml:space="preserve">. Adapun Pengadilan Agama yang dimaksud dalam penelitian ini adalah Pengadilan Agama Kendari. </w:t>
      </w:r>
    </w:p>
    <w:sectPr w:rsidR="00845844" w:rsidRPr="00AE33FD" w:rsidSect="009452BD">
      <w:headerReference w:type="default" r:id="rId8"/>
      <w:footerReference w:type="first" r:id="rId9"/>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D43" w:rsidRDefault="00350D43" w:rsidP="00045C9B">
      <w:pPr>
        <w:spacing w:line="240" w:lineRule="auto"/>
      </w:pPr>
      <w:r>
        <w:separator/>
      </w:r>
    </w:p>
  </w:endnote>
  <w:endnote w:type="continuationSeparator" w:id="1">
    <w:p w:rsidR="00350D43" w:rsidRDefault="00350D43" w:rsidP="00045C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B2"/>
    <w:family w:val="auto"/>
    <w:notTrueType/>
    <w:pitch w:val="default"/>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20351"/>
      <w:docPartObj>
        <w:docPartGallery w:val="Page Numbers (Bottom of Page)"/>
        <w:docPartUnique/>
      </w:docPartObj>
    </w:sdtPr>
    <w:sdtContent>
      <w:p w:rsidR="00D72B7E" w:rsidRDefault="009C6FD7">
        <w:pPr>
          <w:pStyle w:val="Footer"/>
          <w:jc w:val="center"/>
        </w:pPr>
        <w:fldSimple w:instr=" PAGE   \* MERGEFORMAT ">
          <w:r w:rsidR="002E6D3E">
            <w:rPr>
              <w:noProof/>
            </w:rPr>
            <w:t>1</w:t>
          </w:r>
        </w:fldSimple>
      </w:p>
    </w:sdtContent>
  </w:sdt>
  <w:p w:rsidR="00D72B7E" w:rsidRDefault="00D72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D43" w:rsidRDefault="00350D43" w:rsidP="00045C9B">
      <w:pPr>
        <w:spacing w:line="240" w:lineRule="auto"/>
      </w:pPr>
      <w:r>
        <w:separator/>
      </w:r>
    </w:p>
  </w:footnote>
  <w:footnote w:type="continuationSeparator" w:id="1">
    <w:p w:rsidR="00350D43" w:rsidRDefault="00350D43" w:rsidP="00045C9B">
      <w:pPr>
        <w:spacing w:line="240" w:lineRule="auto"/>
      </w:pPr>
      <w:r>
        <w:continuationSeparator/>
      </w:r>
    </w:p>
  </w:footnote>
  <w:footnote w:id="2">
    <w:p w:rsidR="00A97C0C" w:rsidRPr="00A97C0C" w:rsidRDefault="00A97C0C" w:rsidP="00A97C0C">
      <w:pPr>
        <w:pStyle w:val="FootnoteText"/>
        <w:ind w:firstLine="567"/>
        <w:rPr>
          <w:lang w:val="en-US"/>
        </w:rPr>
      </w:pPr>
      <w:r>
        <w:rPr>
          <w:rStyle w:val="FootnoteReference"/>
        </w:rPr>
        <w:footnoteRef/>
      </w:r>
      <w:r>
        <w:t xml:space="preserve"> </w:t>
      </w:r>
      <w:r>
        <w:rPr>
          <w:lang w:val="en-US"/>
        </w:rPr>
        <w:t>UU No. 14 Tahun 1970 Jo UU No. 4 Tahun 2004 Tentang Kekuasaan Kehakiman</w:t>
      </w:r>
    </w:p>
  </w:footnote>
  <w:footnote w:id="3">
    <w:p w:rsidR="00FB4041" w:rsidRPr="00D878DE" w:rsidRDefault="00FB4041" w:rsidP="00302B31">
      <w:pPr>
        <w:pStyle w:val="FootnoteText"/>
        <w:ind w:firstLine="567"/>
        <w:rPr>
          <w:lang w:val="en-US"/>
        </w:rPr>
      </w:pPr>
      <w:r w:rsidRPr="00D878DE">
        <w:rPr>
          <w:rStyle w:val="FootnoteReference"/>
        </w:rPr>
        <w:footnoteRef/>
      </w:r>
      <w:r w:rsidRPr="00D878DE">
        <w:t xml:space="preserve"> Mukti Arto, </w:t>
      </w:r>
      <w:r w:rsidRPr="00D878DE">
        <w:rPr>
          <w:i/>
          <w:iCs/>
        </w:rPr>
        <w:t>Praktek Perkara Perdata Pada Pengadilan Agama</w:t>
      </w:r>
      <w:r w:rsidRPr="00D878DE">
        <w:t xml:space="preserve">, </w:t>
      </w:r>
      <w:r w:rsidR="00C7527E" w:rsidRPr="00D878DE">
        <w:t xml:space="preserve">cet. VI, </w:t>
      </w:r>
      <w:r w:rsidR="00240CF0">
        <w:rPr>
          <w:lang w:val="en-US"/>
        </w:rPr>
        <w:t>(</w:t>
      </w:r>
      <w:r w:rsidRPr="00D878DE">
        <w:t>Yogjakarta: Pustaka Pelajar Offset, 2005</w:t>
      </w:r>
      <w:r w:rsidR="00240CF0">
        <w:rPr>
          <w:lang w:val="en-US"/>
        </w:rPr>
        <w:t>)</w:t>
      </w:r>
      <w:r w:rsidRPr="00D878DE">
        <w:t xml:space="preserve">, 2005. </w:t>
      </w:r>
      <w:r w:rsidR="007556DB">
        <w:rPr>
          <w:lang w:val="en-US"/>
        </w:rPr>
        <w:t>h</w:t>
      </w:r>
      <w:r w:rsidRPr="00D878DE">
        <w:t xml:space="preserve">. 1  </w:t>
      </w:r>
    </w:p>
  </w:footnote>
  <w:footnote w:id="4">
    <w:p w:rsidR="00D878DE" w:rsidRPr="00D878DE" w:rsidRDefault="00D878DE" w:rsidP="00C7527E">
      <w:pPr>
        <w:pStyle w:val="FootnoteText"/>
        <w:ind w:firstLine="567"/>
        <w:jc w:val="both"/>
        <w:rPr>
          <w:lang w:val="en-US"/>
        </w:rPr>
      </w:pPr>
      <w:r w:rsidRPr="00D878DE">
        <w:rPr>
          <w:rStyle w:val="FootnoteReference"/>
        </w:rPr>
        <w:footnoteRef/>
      </w:r>
      <w:r w:rsidRPr="00D878DE">
        <w:t xml:space="preserve"> UU No.3 Tahun 2006 perubahan yang kedua UU No. 50 Tahun 2009 tentang Peradilan Agama  </w:t>
      </w:r>
    </w:p>
  </w:footnote>
  <w:footnote w:id="5">
    <w:p w:rsidR="008340B5" w:rsidRPr="00D878DE" w:rsidRDefault="008340B5" w:rsidP="00C7527E">
      <w:pPr>
        <w:pStyle w:val="FootnoteText"/>
        <w:ind w:firstLine="567"/>
        <w:jc w:val="both"/>
        <w:rPr>
          <w:lang w:val="en-US"/>
        </w:rPr>
      </w:pPr>
      <w:r w:rsidRPr="00D878DE">
        <w:rPr>
          <w:rStyle w:val="FootnoteReference"/>
        </w:rPr>
        <w:footnoteRef/>
      </w:r>
      <w:r w:rsidRPr="00D878DE">
        <w:t xml:space="preserve"> Abdul Manan dan M. Fauzan, </w:t>
      </w:r>
      <w:r w:rsidRPr="00D878DE">
        <w:rPr>
          <w:i/>
          <w:iCs/>
        </w:rPr>
        <w:t>Pokok-Pokok Hukum Perdata Wewenang Pengadilan Agama</w:t>
      </w:r>
      <w:r w:rsidR="00C7527E">
        <w:rPr>
          <w:i/>
          <w:iCs/>
          <w:lang w:val="en-US"/>
        </w:rPr>
        <w:t xml:space="preserve">, </w:t>
      </w:r>
      <w:r w:rsidR="00C7527E">
        <w:t>Cet V</w:t>
      </w:r>
      <w:r w:rsidR="00C7527E">
        <w:rPr>
          <w:lang w:val="en-US"/>
        </w:rPr>
        <w:t>,</w:t>
      </w:r>
      <w:r w:rsidRPr="00D878DE">
        <w:t xml:space="preserve"> </w:t>
      </w:r>
      <w:r>
        <w:rPr>
          <w:lang w:val="en-US"/>
        </w:rPr>
        <w:t>(</w:t>
      </w:r>
      <w:r w:rsidRPr="00D878DE">
        <w:t>Jakarta : PT. Raja Gr</w:t>
      </w:r>
      <w:r>
        <w:t>afindo Persada, 2002</w:t>
      </w:r>
      <w:r>
        <w:rPr>
          <w:lang w:val="en-US"/>
        </w:rPr>
        <w:t>)</w:t>
      </w:r>
      <w:r w:rsidR="00C7527E">
        <w:rPr>
          <w:lang w:val="en-US"/>
        </w:rPr>
        <w:t>,</w:t>
      </w:r>
      <w:r>
        <w:t xml:space="preserve"> </w:t>
      </w:r>
      <w:r>
        <w:rPr>
          <w:lang w:val="en-US"/>
        </w:rPr>
        <w:t>h.</w:t>
      </w:r>
      <w:r w:rsidRPr="00D878DE">
        <w:t xml:space="preserve"> 38-39.  </w:t>
      </w:r>
    </w:p>
  </w:footnote>
  <w:footnote w:id="6">
    <w:p w:rsidR="00FB4041" w:rsidRPr="00D878DE" w:rsidRDefault="00FB4041" w:rsidP="00302B31">
      <w:pPr>
        <w:pStyle w:val="FootnoteText"/>
        <w:ind w:firstLine="567"/>
        <w:rPr>
          <w:lang w:val="en-US"/>
        </w:rPr>
      </w:pPr>
      <w:r w:rsidRPr="00D878DE">
        <w:rPr>
          <w:rStyle w:val="FootnoteReference"/>
        </w:rPr>
        <w:footnoteRef/>
      </w:r>
      <w:r w:rsidRPr="00D878DE">
        <w:t xml:space="preserve"> Mukti Arto, </w:t>
      </w:r>
      <w:r w:rsidRPr="00D878DE">
        <w:rPr>
          <w:i/>
          <w:iCs/>
        </w:rPr>
        <w:t>Op.Cit</w:t>
      </w:r>
      <w:r w:rsidRPr="00D878DE">
        <w:t>.</w:t>
      </w:r>
      <w:r w:rsidRPr="00D878DE">
        <w:rPr>
          <w:lang w:val="en-US"/>
        </w:rPr>
        <w:t>,</w:t>
      </w:r>
      <w:r w:rsidRPr="00D878DE">
        <w:t xml:space="preserve"> </w:t>
      </w:r>
      <w:r w:rsidRPr="00D878DE">
        <w:rPr>
          <w:lang w:val="en-US"/>
        </w:rPr>
        <w:t xml:space="preserve">h. </w:t>
      </w:r>
      <w:r w:rsidRPr="00D878DE">
        <w:t xml:space="preserve">11  </w:t>
      </w:r>
    </w:p>
  </w:footnote>
  <w:footnote w:id="7">
    <w:p w:rsidR="00FB4041" w:rsidRPr="00C7527E" w:rsidRDefault="00FB4041" w:rsidP="00240CF0">
      <w:pPr>
        <w:pStyle w:val="FootnoteText"/>
        <w:ind w:firstLine="567"/>
        <w:jc w:val="both"/>
        <w:rPr>
          <w:lang w:val="en-US"/>
        </w:rPr>
      </w:pPr>
      <w:r w:rsidRPr="00D878DE">
        <w:rPr>
          <w:rStyle w:val="FootnoteReference"/>
        </w:rPr>
        <w:footnoteRef/>
      </w:r>
      <w:r w:rsidRPr="00D878DE">
        <w:t xml:space="preserve"> </w:t>
      </w:r>
      <w:r w:rsidR="00240CF0">
        <w:t xml:space="preserve">M. Yahya Harahap, </w:t>
      </w:r>
      <w:r w:rsidR="00240CF0">
        <w:rPr>
          <w:i/>
          <w:iCs/>
        </w:rPr>
        <w:t>Hukum Acara Perdata</w:t>
      </w:r>
      <w:r w:rsidR="00240CF0">
        <w:t xml:space="preserve">, </w:t>
      </w:r>
      <w:r w:rsidR="00240CF0">
        <w:rPr>
          <w:lang w:val="en-US"/>
        </w:rPr>
        <w:t>(</w:t>
      </w:r>
      <w:r w:rsidR="00240CF0">
        <w:t>Jakarta : Sinar Grafika, 2008</w:t>
      </w:r>
      <w:r w:rsidR="00240CF0">
        <w:rPr>
          <w:lang w:val="en-US"/>
        </w:rPr>
        <w:t>)</w:t>
      </w:r>
      <w:r w:rsidR="00240CF0">
        <w:t>.cet ke-7.</w:t>
      </w:r>
      <w:r w:rsidRPr="00D878DE">
        <w:rPr>
          <w:i/>
          <w:iCs/>
        </w:rPr>
        <w:t xml:space="preserve"> </w:t>
      </w:r>
      <w:r w:rsidRPr="00D878DE">
        <w:rPr>
          <w:lang w:val="en-US"/>
        </w:rPr>
        <w:t>h</w:t>
      </w:r>
      <w:r w:rsidRPr="00D878DE">
        <w:t>.</w:t>
      </w:r>
      <w:r w:rsidRPr="00D878DE">
        <w:rPr>
          <w:lang w:val="en-US"/>
        </w:rPr>
        <w:t xml:space="preserve"> </w:t>
      </w:r>
      <w:r w:rsidR="00240CF0">
        <w:t>229</w:t>
      </w:r>
      <w:r w:rsidR="00240CF0">
        <w:rPr>
          <w:lang w:val="en-US"/>
        </w:rPr>
        <w:t>-</w:t>
      </w:r>
      <w:r w:rsidR="00C7527E">
        <w:t xml:space="preserve">230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20349"/>
      <w:docPartObj>
        <w:docPartGallery w:val="Page Numbers (Top of Page)"/>
        <w:docPartUnique/>
      </w:docPartObj>
    </w:sdtPr>
    <w:sdtContent>
      <w:p w:rsidR="000A1F22" w:rsidRDefault="009C6FD7">
        <w:pPr>
          <w:pStyle w:val="Header"/>
          <w:jc w:val="right"/>
        </w:pPr>
        <w:fldSimple w:instr=" PAGE   \* MERGEFORMAT ">
          <w:r w:rsidR="002E6D3E">
            <w:rPr>
              <w:noProof/>
            </w:rPr>
            <w:t>2</w:t>
          </w:r>
        </w:fldSimple>
      </w:p>
    </w:sdtContent>
  </w:sdt>
  <w:p w:rsidR="000A1F22" w:rsidRDefault="000A1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ADB"/>
    <w:multiLevelType w:val="hybridMultilevel"/>
    <w:tmpl w:val="0C289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13857"/>
    <w:multiLevelType w:val="hybridMultilevel"/>
    <w:tmpl w:val="2676FD00"/>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4720ED2"/>
    <w:multiLevelType w:val="hybridMultilevel"/>
    <w:tmpl w:val="68060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D3334"/>
    <w:multiLevelType w:val="hybridMultilevel"/>
    <w:tmpl w:val="0C289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937F8"/>
    <w:multiLevelType w:val="hybridMultilevel"/>
    <w:tmpl w:val="D3782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75369"/>
    <w:multiLevelType w:val="hybridMultilevel"/>
    <w:tmpl w:val="382A1B6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37EC14E6"/>
    <w:multiLevelType w:val="hybridMultilevel"/>
    <w:tmpl w:val="C05E7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C6CCA"/>
    <w:multiLevelType w:val="hybridMultilevel"/>
    <w:tmpl w:val="7DFA4E14"/>
    <w:lvl w:ilvl="0" w:tplc="5E8C7D4E">
      <w:start w:val="1"/>
      <w:numFmt w:val="decimal"/>
      <w:lvlText w:val="%1."/>
      <w:lvlJc w:val="left"/>
      <w:pPr>
        <w:ind w:left="184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B14AB"/>
    <w:multiLevelType w:val="hybridMultilevel"/>
    <w:tmpl w:val="479EEE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F46FE6"/>
    <w:multiLevelType w:val="hybridMultilevel"/>
    <w:tmpl w:val="D7EAC7EE"/>
    <w:lvl w:ilvl="0" w:tplc="1466FA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A367FF7"/>
    <w:multiLevelType w:val="hybridMultilevel"/>
    <w:tmpl w:val="C50E53E8"/>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671C3160">
      <w:start w:val="1"/>
      <w:numFmt w:val="low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5AC03D6B"/>
    <w:multiLevelType w:val="hybridMultilevel"/>
    <w:tmpl w:val="B26EA07C"/>
    <w:lvl w:ilvl="0" w:tplc="04090015">
      <w:start w:val="1"/>
      <w:numFmt w:val="upperLetter"/>
      <w:lvlText w:val="%1."/>
      <w:lvlJc w:val="left"/>
      <w:pPr>
        <w:ind w:left="720" w:hanging="360"/>
      </w:pPr>
      <w:rPr>
        <w:rFonts w:hint="default"/>
      </w:rPr>
    </w:lvl>
    <w:lvl w:ilvl="1" w:tplc="5E8C7D4E">
      <w:start w:val="1"/>
      <w:numFmt w:val="decimal"/>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D2057"/>
    <w:multiLevelType w:val="hybridMultilevel"/>
    <w:tmpl w:val="AD2A91DC"/>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3">
    <w:nsid w:val="637D6C0E"/>
    <w:multiLevelType w:val="hybridMultilevel"/>
    <w:tmpl w:val="538ED6E8"/>
    <w:lvl w:ilvl="0" w:tplc="3EF813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8"/>
  </w:num>
  <w:num w:numId="2">
    <w:abstractNumId w:val="3"/>
  </w:num>
  <w:num w:numId="3">
    <w:abstractNumId w:val="2"/>
  </w:num>
  <w:num w:numId="4">
    <w:abstractNumId w:val="9"/>
  </w:num>
  <w:num w:numId="5">
    <w:abstractNumId w:val="0"/>
  </w:num>
  <w:num w:numId="6">
    <w:abstractNumId w:val="5"/>
  </w:num>
  <w:num w:numId="7">
    <w:abstractNumId w:val="13"/>
  </w:num>
  <w:num w:numId="8">
    <w:abstractNumId w:val="11"/>
  </w:num>
  <w:num w:numId="9">
    <w:abstractNumId w:val="1"/>
  </w:num>
  <w:num w:numId="10">
    <w:abstractNumId w:val="10"/>
  </w:num>
  <w:num w:numId="11">
    <w:abstractNumId w:val="12"/>
  </w:num>
  <w:num w:numId="12">
    <w:abstractNumId w:val="6"/>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5C9B"/>
    <w:rsid w:val="00001DD1"/>
    <w:rsid w:val="00003EF6"/>
    <w:rsid w:val="00005C0A"/>
    <w:rsid w:val="00020218"/>
    <w:rsid w:val="00025125"/>
    <w:rsid w:val="000321EA"/>
    <w:rsid w:val="00033B98"/>
    <w:rsid w:val="00034D06"/>
    <w:rsid w:val="00045C9B"/>
    <w:rsid w:val="00047C0E"/>
    <w:rsid w:val="00062966"/>
    <w:rsid w:val="00066872"/>
    <w:rsid w:val="0006760D"/>
    <w:rsid w:val="00072E43"/>
    <w:rsid w:val="0008121E"/>
    <w:rsid w:val="000832F3"/>
    <w:rsid w:val="000A1F22"/>
    <w:rsid w:val="000A75DB"/>
    <w:rsid w:val="000B702E"/>
    <w:rsid w:val="000E5EA6"/>
    <w:rsid w:val="000F6696"/>
    <w:rsid w:val="00107D68"/>
    <w:rsid w:val="00113712"/>
    <w:rsid w:val="00132526"/>
    <w:rsid w:val="001543D9"/>
    <w:rsid w:val="00167398"/>
    <w:rsid w:val="001825C4"/>
    <w:rsid w:val="0019796E"/>
    <w:rsid w:val="001A6A71"/>
    <w:rsid w:val="001B09EF"/>
    <w:rsid w:val="001D0666"/>
    <w:rsid w:val="001D16A4"/>
    <w:rsid w:val="001E19BF"/>
    <w:rsid w:val="001E5481"/>
    <w:rsid w:val="0021782E"/>
    <w:rsid w:val="002216C5"/>
    <w:rsid w:val="002406C0"/>
    <w:rsid w:val="00240CF0"/>
    <w:rsid w:val="00241F44"/>
    <w:rsid w:val="00247078"/>
    <w:rsid w:val="002748A6"/>
    <w:rsid w:val="002819C7"/>
    <w:rsid w:val="00293358"/>
    <w:rsid w:val="002A5C90"/>
    <w:rsid w:val="002C486E"/>
    <w:rsid w:val="002D1331"/>
    <w:rsid w:val="002D2B0F"/>
    <w:rsid w:val="002E2B12"/>
    <w:rsid w:val="002E5CC9"/>
    <w:rsid w:val="002E60C6"/>
    <w:rsid w:val="002E6D3E"/>
    <w:rsid w:val="00302B31"/>
    <w:rsid w:val="00310146"/>
    <w:rsid w:val="003448E7"/>
    <w:rsid w:val="00350D43"/>
    <w:rsid w:val="003B10D8"/>
    <w:rsid w:val="003C4787"/>
    <w:rsid w:val="003E1F9F"/>
    <w:rsid w:val="003F54EC"/>
    <w:rsid w:val="00414527"/>
    <w:rsid w:val="0042725F"/>
    <w:rsid w:val="0043702E"/>
    <w:rsid w:val="00441235"/>
    <w:rsid w:val="004449AD"/>
    <w:rsid w:val="00452B03"/>
    <w:rsid w:val="00461A8E"/>
    <w:rsid w:val="0048102C"/>
    <w:rsid w:val="004812BC"/>
    <w:rsid w:val="00490EE7"/>
    <w:rsid w:val="0049596B"/>
    <w:rsid w:val="00495CFF"/>
    <w:rsid w:val="004A535F"/>
    <w:rsid w:val="004C5C42"/>
    <w:rsid w:val="004E1374"/>
    <w:rsid w:val="004F6685"/>
    <w:rsid w:val="00536F53"/>
    <w:rsid w:val="005425C7"/>
    <w:rsid w:val="005567D8"/>
    <w:rsid w:val="00565B70"/>
    <w:rsid w:val="00566C0A"/>
    <w:rsid w:val="00572C52"/>
    <w:rsid w:val="005A2AFC"/>
    <w:rsid w:val="005A63B7"/>
    <w:rsid w:val="005B03A5"/>
    <w:rsid w:val="005B62DC"/>
    <w:rsid w:val="005B6A60"/>
    <w:rsid w:val="005C38C5"/>
    <w:rsid w:val="005D2C90"/>
    <w:rsid w:val="005E1FDA"/>
    <w:rsid w:val="005E7C26"/>
    <w:rsid w:val="005F45AE"/>
    <w:rsid w:val="006215B8"/>
    <w:rsid w:val="00626B75"/>
    <w:rsid w:val="00627355"/>
    <w:rsid w:val="00651A89"/>
    <w:rsid w:val="00661074"/>
    <w:rsid w:val="00665631"/>
    <w:rsid w:val="00671C07"/>
    <w:rsid w:val="00672CB7"/>
    <w:rsid w:val="0067643A"/>
    <w:rsid w:val="00676665"/>
    <w:rsid w:val="00697B55"/>
    <w:rsid w:val="006E09C1"/>
    <w:rsid w:val="006E6D54"/>
    <w:rsid w:val="006F4A9E"/>
    <w:rsid w:val="007025E5"/>
    <w:rsid w:val="0071180A"/>
    <w:rsid w:val="007256B1"/>
    <w:rsid w:val="00735E94"/>
    <w:rsid w:val="0074531D"/>
    <w:rsid w:val="00751BAD"/>
    <w:rsid w:val="007556DB"/>
    <w:rsid w:val="007705C1"/>
    <w:rsid w:val="007A1C39"/>
    <w:rsid w:val="007A7F98"/>
    <w:rsid w:val="007B73D4"/>
    <w:rsid w:val="007C619C"/>
    <w:rsid w:val="00800702"/>
    <w:rsid w:val="00801321"/>
    <w:rsid w:val="00807679"/>
    <w:rsid w:val="008173DB"/>
    <w:rsid w:val="00820357"/>
    <w:rsid w:val="008340B5"/>
    <w:rsid w:val="00836EBC"/>
    <w:rsid w:val="00845844"/>
    <w:rsid w:val="00857C1F"/>
    <w:rsid w:val="0086249D"/>
    <w:rsid w:val="00882D5D"/>
    <w:rsid w:val="00891DC5"/>
    <w:rsid w:val="00897C51"/>
    <w:rsid w:val="008A0158"/>
    <w:rsid w:val="008A26E7"/>
    <w:rsid w:val="008A2705"/>
    <w:rsid w:val="008B306E"/>
    <w:rsid w:val="008B5897"/>
    <w:rsid w:val="008C76D0"/>
    <w:rsid w:val="008D3153"/>
    <w:rsid w:val="008D35E5"/>
    <w:rsid w:val="008D41BA"/>
    <w:rsid w:val="008E43D4"/>
    <w:rsid w:val="008E63FD"/>
    <w:rsid w:val="008E7F78"/>
    <w:rsid w:val="00903D27"/>
    <w:rsid w:val="00932EC5"/>
    <w:rsid w:val="009452BD"/>
    <w:rsid w:val="0095662C"/>
    <w:rsid w:val="0096690F"/>
    <w:rsid w:val="00980750"/>
    <w:rsid w:val="00983F7A"/>
    <w:rsid w:val="009A7725"/>
    <w:rsid w:val="009C6FD7"/>
    <w:rsid w:val="009D4A19"/>
    <w:rsid w:val="009E46F9"/>
    <w:rsid w:val="009E6DA0"/>
    <w:rsid w:val="009F4D60"/>
    <w:rsid w:val="00A26F1E"/>
    <w:rsid w:val="00A50890"/>
    <w:rsid w:val="00A5679C"/>
    <w:rsid w:val="00A67BBF"/>
    <w:rsid w:val="00A81945"/>
    <w:rsid w:val="00A96EE1"/>
    <w:rsid w:val="00A97C0C"/>
    <w:rsid w:val="00AA31ED"/>
    <w:rsid w:val="00AB6754"/>
    <w:rsid w:val="00AC2820"/>
    <w:rsid w:val="00AD12D1"/>
    <w:rsid w:val="00AD1B5C"/>
    <w:rsid w:val="00AE0941"/>
    <w:rsid w:val="00AE33FD"/>
    <w:rsid w:val="00AF287E"/>
    <w:rsid w:val="00B00427"/>
    <w:rsid w:val="00B0286B"/>
    <w:rsid w:val="00B04E6B"/>
    <w:rsid w:val="00B43D58"/>
    <w:rsid w:val="00B865CC"/>
    <w:rsid w:val="00BA11E8"/>
    <w:rsid w:val="00BB6805"/>
    <w:rsid w:val="00BB74AE"/>
    <w:rsid w:val="00BC43EE"/>
    <w:rsid w:val="00BD2706"/>
    <w:rsid w:val="00BD2C89"/>
    <w:rsid w:val="00BE1BC9"/>
    <w:rsid w:val="00BE3656"/>
    <w:rsid w:val="00C057B4"/>
    <w:rsid w:val="00C14F20"/>
    <w:rsid w:val="00C15E22"/>
    <w:rsid w:val="00C231F4"/>
    <w:rsid w:val="00C24C66"/>
    <w:rsid w:val="00C37488"/>
    <w:rsid w:val="00C528A3"/>
    <w:rsid w:val="00C7527E"/>
    <w:rsid w:val="00CB786E"/>
    <w:rsid w:val="00CC506C"/>
    <w:rsid w:val="00CC5168"/>
    <w:rsid w:val="00CE00C2"/>
    <w:rsid w:val="00D201CD"/>
    <w:rsid w:val="00D67124"/>
    <w:rsid w:val="00D72B7E"/>
    <w:rsid w:val="00D73899"/>
    <w:rsid w:val="00D81E43"/>
    <w:rsid w:val="00D878DE"/>
    <w:rsid w:val="00DB0EB4"/>
    <w:rsid w:val="00DB5B88"/>
    <w:rsid w:val="00DB78AE"/>
    <w:rsid w:val="00DD0E04"/>
    <w:rsid w:val="00DE0EB5"/>
    <w:rsid w:val="00DE6B2C"/>
    <w:rsid w:val="00E07127"/>
    <w:rsid w:val="00E14E23"/>
    <w:rsid w:val="00E20F1C"/>
    <w:rsid w:val="00E23697"/>
    <w:rsid w:val="00E5005E"/>
    <w:rsid w:val="00E71044"/>
    <w:rsid w:val="00E94ED8"/>
    <w:rsid w:val="00EB7645"/>
    <w:rsid w:val="00EC7210"/>
    <w:rsid w:val="00EF46E2"/>
    <w:rsid w:val="00EF5FB6"/>
    <w:rsid w:val="00F05AE1"/>
    <w:rsid w:val="00F23ACF"/>
    <w:rsid w:val="00F35960"/>
    <w:rsid w:val="00F630A3"/>
    <w:rsid w:val="00F67B29"/>
    <w:rsid w:val="00F820B2"/>
    <w:rsid w:val="00F820B8"/>
    <w:rsid w:val="00F85D1F"/>
    <w:rsid w:val="00F92AA8"/>
    <w:rsid w:val="00F9449B"/>
    <w:rsid w:val="00FA45C8"/>
    <w:rsid w:val="00FB4041"/>
    <w:rsid w:val="00FC00D0"/>
    <w:rsid w:val="00FD7CAF"/>
    <w:rsid w:val="00FF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9B"/>
    <w:pPr>
      <w:ind w:left="720"/>
      <w:contextualSpacing/>
    </w:pPr>
  </w:style>
  <w:style w:type="paragraph" w:styleId="FootnoteText">
    <w:name w:val="footnote text"/>
    <w:basedOn w:val="Normal"/>
    <w:link w:val="FootnoteTextChar"/>
    <w:uiPriority w:val="99"/>
    <w:semiHidden/>
    <w:unhideWhenUsed/>
    <w:rsid w:val="00045C9B"/>
    <w:pPr>
      <w:spacing w:line="240" w:lineRule="auto"/>
    </w:pPr>
    <w:rPr>
      <w:sz w:val="20"/>
      <w:szCs w:val="20"/>
    </w:rPr>
  </w:style>
  <w:style w:type="character" w:customStyle="1" w:styleId="FootnoteTextChar">
    <w:name w:val="Footnote Text Char"/>
    <w:basedOn w:val="DefaultParagraphFont"/>
    <w:link w:val="FootnoteText"/>
    <w:uiPriority w:val="99"/>
    <w:semiHidden/>
    <w:rsid w:val="00045C9B"/>
    <w:rPr>
      <w:sz w:val="20"/>
      <w:szCs w:val="20"/>
    </w:rPr>
  </w:style>
  <w:style w:type="character" w:styleId="FootnoteReference">
    <w:name w:val="footnote reference"/>
    <w:basedOn w:val="DefaultParagraphFont"/>
    <w:uiPriority w:val="99"/>
    <w:semiHidden/>
    <w:unhideWhenUsed/>
    <w:rsid w:val="00045C9B"/>
    <w:rPr>
      <w:vertAlign w:val="superscript"/>
    </w:rPr>
  </w:style>
  <w:style w:type="paragraph" w:customStyle="1" w:styleId="Default">
    <w:name w:val="Default"/>
    <w:rsid w:val="00FB4041"/>
    <w:pPr>
      <w:autoSpaceDE w:val="0"/>
      <w:autoSpaceDN w:val="0"/>
      <w:adjustRightInd w:val="0"/>
      <w:spacing w:line="240" w:lineRule="auto"/>
    </w:pPr>
    <w:rPr>
      <w:rFonts w:cs="Times New Roman"/>
      <w:color w:val="000000"/>
      <w:szCs w:val="24"/>
      <w:lang w:val="en-US"/>
    </w:rPr>
  </w:style>
  <w:style w:type="paragraph" w:styleId="Header">
    <w:name w:val="header"/>
    <w:basedOn w:val="Normal"/>
    <w:link w:val="HeaderChar"/>
    <w:uiPriority w:val="99"/>
    <w:unhideWhenUsed/>
    <w:rsid w:val="000A1F22"/>
    <w:pPr>
      <w:tabs>
        <w:tab w:val="center" w:pos="4680"/>
        <w:tab w:val="right" w:pos="9360"/>
      </w:tabs>
      <w:spacing w:line="240" w:lineRule="auto"/>
    </w:pPr>
  </w:style>
  <w:style w:type="character" w:customStyle="1" w:styleId="HeaderChar">
    <w:name w:val="Header Char"/>
    <w:basedOn w:val="DefaultParagraphFont"/>
    <w:link w:val="Header"/>
    <w:uiPriority w:val="99"/>
    <w:rsid w:val="000A1F22"/>
  </w:style>
  <w:style w:type="paragraph" w:styleId="Footer">
    <w:name w:val="footer"/>
    <w:basedOn w:val="Normal"/>
    <w:link w:val="FooterChar"/>
    <w:uiPriority w:val="99"/>
    <w:unhideWhenUsed/>
    <w:rsid w:val="000A1F22"/>
    <w:pPr>
      <w:tabs>
        <w:tab w:val="center" w:pos="4680"/>
        <w:tab w:val="right" w:pos="9360"/>
      </w:tabs>
      <w:spacing w:line="240" w:lineRule="auto"/>
    </w:pPr>
  </w:style>
  <w:style w:type="character" w:customStyle="1" w:styleId="FooterChar">
    <w:name w:val="Footer Char"/>
    <w:basedOn w:val="DefaultParagraphFont"/>
    <w:link w:val="Footer"/>
    <w:uiPriority w:val="99"/>
    <w:rsid w:val="000A1F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1388-2570-437B-BC98-6ACB299A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MARDIN</dc:creator>
  <cp:lastModifiedBy>SUMARDIN</cp:lastModifiedBy>
  <cp:revision>24</cp:revision>
  <cp:lastPrinted>2013-11-21T03:02:00Z</cp:lastPrinted>
  <dcterms:created xsi:type="dcterms:W3CDTF">2013-02-16T05:36:00Z</dcterms:created>
  <dcterms:modified xsi:type="dcterms:W3CDTF">2013-11-22T06:37:00Z</dcterms:modified>
</cp:coreProperties>
</file>