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E2" w:rsidRDefault="00BB7EE6" w:rsidP="00BB7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EE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E4B1E" w:rsidRDefault="00AE4B1E" w:rsidP="00BB7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EE6" w:rsidRDefault="00BB7EE6" w:rsidP="0076054A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Anonim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Himpunan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Peraturan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Perundang-Undangan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Media, 2006</w:t>
      </w:r>
    </w:p>
    <w:p w:rsidR="00BB7EE6" w:rsidRDefault="00BB7EE6" w:rsidP="00BB7EE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Ahmadi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Abu.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, 1994</w:t>
      </w:r>
    </w:p>
    <w:p w:rsidR="00BB7EE6" w:rsidRDefault="00BB7EE6" w:rsidP="0076054A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Al-</w:t>
      </w:r>
      <w:proofErr w:type="spellStart"/>
      <w:r>
        <w:rPr>
          <w:rFonts w:ascii="Times New Roman" w:hAnsi="Times New Roman" w:cs="Times New Roman"/>
          <w:sz w:val="24"/>
          <w:szCs w:val="24"/>
        </w:rPr>
        <w:t>Abrasyi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Athiyah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Beberapa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Pemikiran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Islam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I, Surabaya: Titian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Ilahi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Press, 1993</w:t>
      </w:r>
    </w:p>
    <w:p w:rsidR="00BB7EE6" w:rsidRDefault="00BB7EE6" w:rsidP="0076054A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Aqib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Profesionalisme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Surabaya: </w:t>
      </w:r>
      <w:proofErr w:type="spellStart"/>
      <w:r>
        <w:rPr>
          <w:rFonts w:ascii="Times New Roman" w:hAnsi="Times New Roman" w:cs="Times New Roman"/>
          <w:sz w:val="24"/>
          <w:szCs w:val="24"/>
        </w:rPr>
        <w:t>Insan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Cendekia</w:t>
      </w:r>
      <w:proofErr w:type="spellEnd"/>
      <w:r>
        <w:rPr>
          <w:rFonts w:ascii="Times New Roman" w:hAnsi="Times New Roman" w:cs="Times New Roman"/>
          <w:sz w:val="24"/>
          <w:szCs w:val="24"/>
        </w:rPr>
        <w:t>, 2002</w:t>
      </w:r>
    </w:p>
    <w:p w:rsidR="00BB7EE6" w:rsidRDefault="00096F00" w:rsidP="0076054A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, 1992</w:t>
      </w:r>
    </w:p>
    <w:p w:rsidR="00096F00" w:rsidRDefault="00096F00" w:rsidP="0076054A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IX,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, 1993</w:t>
      </w:r>
    </w:p>
    <w:p w:rsidR="00096F00" w:rsidRDefault="00096F00" w:rsidP="00BB7EE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Burhan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>, 2005</w:t>
      </w:r>
    </w:p>
    <w:p w:rsidR="00096F00" w:rsidRDefault="00096F00" w:rsidP="00BB7EE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, 2002</w:t>
      </w:r>
    </w:p>
    <w:p w:rsidR="00096F00" w:rsidRDefault="00096F00" w:rsidP="00BB7EE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>, The Li</w:t>
      </w:r>
      <w:r w:rsidR="00DB29A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ng. </w:t>
      </w:r>
      <w:r w:rsidRPr="0076054A">
        <w:rPr>
          <w:rFonts w:ascii="Times New Roman" w:hAnsi="Times New Roman" w:cs="Times New Roman"/>
          <w:i/>
          <w:sz w:val="24"/>
          <w:szCs w:val="24"/>
        </w:rPr>
        <w:t xml:space="preserve">Cara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Yogyakarta: Liberty, 1994</w:t>
      </w:r>
    </w:p>
    <w:p w:rsidR="00096F00" w:rsidRDefault="00096F00" w:rsidP="0076054A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Haryanto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054A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Guru Kimia SMU DKI Jakarta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Ditinjau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Dari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Aspek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Emosionalnya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Thn</w:t>
      </w:r>
      <w:proofErr w:type="spellEnd"/>
      <w:r>
        <w:rPr>
          <w:rFonts w:ascii="Times New Roman" w:hAnsi="Times New Roman" w:cs="Times New Roman"/>
          <w:sz w:val="24"/>
          <w:szCs w:val="24"/>
        </w:rPr>
        <w:t>. 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No.071.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DEPDIKNAS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096F00" w:rsidRDefault="00096F00" w:rsidP="0076054A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Ismail, </w:t>
      </w:r>
      <w:proofErr w:type="spellStart"/>
      <w:r>
        <w:rPr>
          <w:rFonts w:ascii="Times New Roman" w:hAnsi="Times New Roman" w:cs="Times New Roman"/>
          <w:sz w:val="24"/>
          <w:szCs w:val="24"/>
        </w:rPr>
        <w:t>Imanuddin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I, 1980</w:t>
      </w:r>
    </w:p>
    <w:p w:rsidR="00096F00" w:rsidRDefault="00096F00" w:rsidP="00BB7EE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Margono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, 2003</w:t>
      </w:r>
    </w:p>
    <w:p w:rsidR="00096F00" w:rsidRDefault="00652BAC" w:rsidP="0076054A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Berbagai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3, 1987</w:t>
      </w:r>
    </w:p>
    <w:p w:rsidR="00652BAC" w:rsidRDefault="00652BAC" w:rsidP="0076054A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PPN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Sumartana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Surabaya: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, 1986</w:t>
      </w:r>
    </w:p>
    <w:p w:rsidR="00652BAC" w:rsidRDefault="00652BAC" w:rsidP="0076054A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Purwanto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Ngalim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Prinsip-prinsip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, 2004</w:t>
      </w:r>
    </w:p>
    <w:p w:rsidR="00652BAC" w:rsidRDefault="00652BAC" w:rsidP="00BB7EE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Roestiyah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K,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Didaktik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Metodik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, 1986</w:t>
      </w:r>
    </w:p>
    <w:p w:rsidR="00652BAC" w:rsidRDefault="00652BAC" w:rsidP="0076054A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Simanjuntak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Lisnawati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Et.al,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Mte-Matika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, 2003</w:t>
      </w:r>
    </w:p>
    <w:p w:rsidR="00652BAC" w:rsidRDefault="00652BAC" w:rsidP="0076054A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Slameto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Faktor-faktor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Mempengaruhinya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, 1995</w:t>
      </w:r>
    </w:p>
    <w:p w:rsidR="00652BAC" w:rsidRDefault="00652BAC" w:rsidP="00BB7EE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Muhibbin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Logos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>, 1999</w:t>
      </w:r>
    </w:p>
    <w:p w:rsidR="00652BAC" w:rsidRDefault="00652BAC" w:rsidP="00BB7EE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Nana.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Prestasi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Ciamis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STKIP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Siliwangi</w:t>
      </w:r>
      <w:proofErr w:type="spellEnd"/>
      <w:r>
        <w:rPr>
          <w:rFonts w:ascii="Times New Roman" w:hAnsi="Times New Roman" w:cs="Times New Roman"/>
          <w:sz w:val="24"/>
          <w:szCs w:val="24"/>
        </w:rPr>
        <w:t>, 1981</w:t>
      </w:r>
    </w:p>
    <w:p w:rsidR="00E80F54" w:rsidRDefault="00E80F54" w:rsidP="00BB7EE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Nana. </w:t>
      </w:r>
      <w:proofErr w:type="spellStart"/>
      <w:r w:rsidRPr="00E80F54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E80F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0F54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Tarsito</w:t>
      </w:r>
      <w:proofErr w:type="spellEnd"/>
      <w:r>
        <w:rPr>
          <w:rFonts w:ascii="Times New Roman" w:hAnsi="Times New Roman" w:cs="Times New Roman"/>
          <w:sz w:val="24"/>
          <w:szCs w:val="24"/>
        </w:rPr>
        <w:t>, 1992</w:t>
      </w:r>
    </w:p>
    <w:p w:rsidR="00652BAC" w:rsidRDefault="00A23156" w:rsidP="0076054A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Sudijono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Statistk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52BAC">
        <w:rPr>
          <w:rFonts w:ascii="Times New Roman" w:hAnsi="Times New Roman" w:cs="Times New Roman"/>
          <w:sz w:val="24"/>
          <w:szCs w:val="24"/>
        </w:rPr>
        <w:t xml:space="preserve"> Jakarta: PT Raja </w:t>
      </w:r>
      <w:proofErr w:type="spellStart"/>
      <w:r w:rsidR="00652BAC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65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BAC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652BAC">
        <w:rPr>
          <w:rFonts w:ascii="Times New Roman" w:hAnsi="Times New Roman" w:cs="Times New Roman"/>
          <w:sz w:val="24"/>
          <w:szCs w:val="24"/>
        </w:rPr>
        <w:t>, 2004</w:t>
      </w:r>
    </w:p>
    <w:p w:rsidR="00A23156" w:rsidRDefault="00A23156" w:rsidP="00BB7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>
        <w:rPr>
          <w:rFonts w:ascii="Times New Roman" w:hAnsi="Times New Roman" w:cs="Times New Roman"/>
          <w:sz w:val="24"/>
          <w:szCs w:val="24"/>
        </w:rPr>
        <w:t>, Bag. Pro</w:t>
      </w:r>
      <w:r w:rsidRPr="0076054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Mutu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6054A">
        <w:rPr>
          <w:rFonts w:ascii="Times New Roman" w:hAnsi="Times New Roman" w:cs="Times New Roman"/>
          <w:i/>
          <w:sz w:val="24"/>
          <w:szCs w:val="24"/>
        </w:rPr>
        <w:t>Pendais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RI, 1981</w:t>
      </w:r>
    </w:p>
    <w:p w:rsidR="00A23156" w:rsidRPr="00BB7EE6" w:rsidRDefault="00A23156" w:rsidP="00BB7EE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Wilispakar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E4B1E">
        <w:rPr>
          <w:rFonts w:ascii="Times New Roman" w:hAnsi="Times New Roman" w:cs="Times New Roman"/>
          <w:i/>
          <w:sz w:val="24"/>
          <w:szCs w:val="24"/>
        </w:rPr>
        <w:t>Teori-t</w:t>
      </w:r>
      <w:r w:rsidRPr="0076054A">
        <w:rPr>
          <w:rFonts w:ascii="Times New Roman" w:hAnsi="Times New Roman" w:cs="Times New Roman"/>
          <w:i/>
          <w:sz w:val="24"/>
          <w:szCs w:val="24"/>
        </w:rPr>
        <w:t>eori</w:t>
      </w:r>
      <w:proofErr w:type="spellEnd"/>
      <w:r w:rsidRPr="0076054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1989</w:t>
      </w:r>
    </w:p>
    <w:sectPr w:rsidR="00A23156" w:rsidRPr="00BB7EE6" w:rsidSect="00BB7EE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7EE6"/>
    <w:rsid w:val="00096F00"/>
    <w:rsid w:val="00373891"/>
    <w:rsid w:val="005E7EE2"/>
    <w:rsid w:val="00652BAC"/>
    <w:rsid w:val="00712577"/>
    <w:rsid w:val="0076054A"/>
    <w:rsid w:val="00A23156"/>
    <w:rsid w:val="00AE4B1E"/>
    <w:rsid w:val="00BB7EE6"/>
    <w:rsid w:val="00D45B80"/>
    <w:rsid w:val="00D54670"/>
    <w:rsid w:val="00DB29A3"/>
    <w:rsid w:val="00E80F54"/>
    <w:rsid w:val="00FC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bccoct72</dc:creator>
  <cp:lastModifiedBy>bccoct72</cp:lastModifiedBy>
  <cp:revision>6</cp:revision>
  <dcterms:created xsi:type="dcterms:W3CDTF">2012-07-12T14:22:00Z</dcterms:created>
  <dcterms:modified xsi:type="dcterms:W3CDTF">2012-11-25T17:18:00Z</dcterms:modified>
</cp:coreProperties>
</file>