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BDA" w:rsidRPr="00543E2D" w:rsidRDefault="000E0C5C" w:rsidP="004C3263">
      <w:pPr>
        <w:pStyle w:val="Title"/>
        <w:spacing w:line="480" w:lineRule="auto"/>
      </w:pPr>
      <w:r w:rsidRPr="000E0C5C">
        <w:rPr>
          <w:noProof/>
        </w:rPr>
        <w:pict>
          <v:rect id="_x0000_s1026" style="position:absolute;left:0;text-align:left;margin-left:405pt;margin-top:-79.5pt;width:21.75pt;height:27pt;z-index:251658240" strokecolor="white [3212]"/>
        </w:pict>
      </w:r>
      <w:r w:rsidR="007F4BDA" w:rsidRPr="00543E2D">
        <w:t>BAB II</w:t>
      </w:r>
    </w:p>
    <w:p w:rsidR="007F4BDA" w:rsidRDefault="007F4BDA" w:rsidP="004C3263">
      <w:pPr>
        <w:pStyle w:val="Subtitle"/>
      </w:pPr>
      <w:r w:rsidRPr="00543E2D">
        <w:t>TINJAUAN PUSTAKA</w:t>
      </w:r>
    </w:p>
    <w:p w:rsidR="004C3263" w:rsidRPr="00543E2D" w:rsidRDefault="004C3263" w:rsidP="004C3263">
      <w:pPr>
        <w:pStyle w:val="Subtitle"/>
        <w:rPr>
          <w:b w:val="0"/>
        </w:rPr>
      </w:pPr>
    </w:p>
    <w:p w:rsidR="004A0899" w:rsidRPr="004A0899" w:rsidRDefault="004A0899" w:rsidP="007F4BDA">
      <w:pPr>
        <w:pStyle w:val="Heading1"/>
        <w:numPr>
          <w:ilvl w:val="1"/>
          <w:numId w:val="1"/>
        </w:numPr>
        <w:tabs>
          <w:tab w:val="clear" w:pos="1800"/>
        </w:tabs>
        <w:spacing w:line="480" w:lineRule="auto"/>
        <w:ind w:left="360"/>
        <w:jc w:val="lowKashida"/>
        <w:rPr>
          <w:rFonts w:ascii="Times New Arabic" w:hAnsi="Times New Arabic"/>
          <w:b/>
          <w:u w:val="none"/>
        </w:rPr>
      </w:pPr>
      <w:r>
        <w:rPr>
          <w:rFonts w:ascii="Times New Arabic" w:hAnsi="Times New Arabic"/>
          <w:b/>
          <w:u w:val="none"/>
        </w:rPr>
        <w:t xml:space="preserve">Defenisi </w:t>
      </w:r>
      <w:r w:rsidR="00A472BB">
        <w:rPr>
          <w:rFonts w:ascii="Times New Arabic" w:hAnsi="Times New Arabic"/>
          <w:b/>
          <w:u w:val="none"/>
          <w:lang w:val="id-ID"/>
        </w:rPr>
        <w:t>Konseptual</w:t>
      </w:r>
    </w:p>
    <w:p w:rsidR="007F4BDA" w:rsidRPr="00543E2D" w:rsidRDefault="007F4BDA" w:rsidP="004A0899">
      <w:pPr>
        <w:pStyle w:val="Heading1"/>
        <w:numPr>
          <w:ilvl w:val="0"/>
          <w:numId w:val="8"/>
        </w:numPr>
        <w:spacing w:line="480" w:lineRule="auto"/>
        <w:ind w:left="720"/>
        <w:jc w:val="lowKashida"/>
        <w:rPr>
          <w:rFonts w:ascii="Times New Arabic" w:hAnsi="Times New Arabic"/>
          <w:b/>
          <w:u w:val="none"/>
        </w:rPr>
      </w:pPr>
      <w:r w:rsidRPr="00543E2D">
        <w:rPr>
          <w:b/>
          <w:u w:val="none"/>
        </w:rPr>
        <w:t xml:space="preserve">Pengertian </w:t>
      </w:r>
      <w:r w:rsidRPr="00543E2D">
        <w:rPr>
          <w:rFonts w:ascii="Times New Arabic" w:hAnsi="Times New Arabic"/>
          <w:b/>
          <w:i/>
          <w:iCs/>
          <w:u w:val="none"/>
        </w:rPr>
        <w:t>Nusyuz</w:t>
      </w:r>
    </w:p>
    <w:p w:rsidR="007F4BDA" w:rsidRPr="00543E2D" w:rsidRDefault="00573417" w:rsidP="004A0899">
      <w:pPr>
        <w:spacing w:line="480" w:lineRule="auto"/>
        <w:ind w:left="720" w:firstLine="720"/>
        <w:jc w:val="lowKashida"/>
      </w:pPr>
      <w:r>
        <w:t>Bahasa</w:t>
      </w:r>
      <w:r w:rsidR="007F4BDA" w:rsidRPr="00543E2D">
        <w:rPr>
          <w:rFonts w:ascii="Times New Arabic" w:hAnsi="Times New Arabic"/>
          <w:i/>
          <w:iCs/>
        </w:rPr>
        <w:t>nusyuz</w:t>
      </w:r>
      <w:r w:rsidR="007F4BDA" w:rsidRPr="00543E2D">
        <w:t xml:space="preserve">adalah </w:t>
      </w:r>
      <w:r w:rsidR="007F4BDA" w:rsidRPr="00543E2D">
        <w:rPr>
          <w:rFonts w:ascii="Times New Arabic" w:hAnsi="Times New Arabic"/>
          <w:i/>
          <w:iCs/>
        </w:rPr>
        <w:t>masdar</w:t>
      </w:r>
      <w:r w:rsidR="007F4BDA" w:rsidRPr="00543E2D">
        <w:t xml:space="preserve"> atau </w:t>
      </w:r>
      <w:r w:rsidR="007F4BDA" w:rsidRPr="00543E2D">
        <w:rPr>
          <w:i/>
          <w:iCs/>
        </w:rPr>
        <w:t>infinitive</w:t>
      </w:r>
      <w:r w:rsidR="007F4BDA" w:rsidRPr="00543E2D">
        <w:t xml:space="preserve"> dari kata</w:t>
      </w:r>
      <w:r w:rsidR="007F4BDA" w:rsidRPr="00543E2D">
        <w:rPr>
          <w:rFonts w:cs="Arabic Transparent"/>
        </w:rPr>
        <w:t>,</w:t>
      </w:r>
      <w:r w:rsidR="007F4BDA" w:rsidRPr="00543E2D">
        <w:rPr>
          <w:rFonts w:cs="Arabic Transparent" w:hint="cs"/>
          <w:rtl/>
        </w:rPr>
        <w:t xml:space="preserve"> نشز, </w:t>
      </w:r>
      <w:r w:rsidR="007F4BDA" w:rsidRPr="00543E2D">
        <w:rPr>
          <w:rtl/>
        </w:rPr>
        <w:t>ينشز</w:t>
      </w:r>
      <w:r w:rsidR="007F4BDA" w:rsidRPr="00543E2D">
        <w:t xml:space="preserve"> yang mempunyai arti tanah yang terangkat tinggi ke atas.</w:t>
      </w:r>
      <w:r w:rsidR="007F4BDA" w:rsidRPr="00543E2D">
        <w:rPr>
          <w:rStyle w:val="FootnoteReference"/>
        </w:rPr>
        <w:footnoteReference w:id="2"/>
      </w:r>
      <w:r w:rsidR="007F4BDA" w:rsidRPr="00543E2D">
        <w:rPr>
          <w:rFonts w:ascii="Times New Arabic" w:hAnsi="Times New Arabic"/>
        </w:rPr>
        <w:t>'Ali as-Sabuni</w:t>
      </w:r>
      <w:r>
        <w:t xml:space="preserve">dalam tafsirnya mengatakan </w:t>
      </w:r>
      <w:r w:rsidR="007F4BDA" w:rsidRPr="00543E2D">
        <w:t>:</w:t>
      </w:r>
      <w:r w:rsidR="007F4BDA" w:rsidRPr="00543E2D">
        <w:rPr>
          <w:rStyle w:val="FootnoteReference"/>
          <w:rtl/>
        </w:rPr>
        <w:footnoteReference w:id="3"/>
      </w:r>
      <w:r w:rsidR="007F4BDA" w:rsidRPr="00543E2D">
        <w:rPr>
          <w:rtl/>
        </w:rPr>
        <w:t>النشزالمكان المرتفع ومنه تل نا</w:t>
      </w:r>
      <w:r w:rsidR="007F4BDA" w:rsidRPr="00543E2D">
        <w:rPr>
          <w:rFonts w:hint="cs"/>
          <w:rtl/>
        </w:rPr>
        <w:t>س</w:t>
      </w:r>
      <w:r w:rsidR="007F4BDA" w:rsidRPr="00543E2D">
        <w:rPr>
          <w:rtl/>
        </w:rPr>
        <w:t>ز</w:t>
      </w:r>
      <w:r w:rsidR="007F4BDA" w:rsidRPr="00543E2D">
        <w:rPr>
          <w:rFonts w:hint="cs"/>
          <w:rtl/>
        </w:rPr>
        <w:t xml:space="preserve">أى مرتفع </w:t>
      </w:r>
      <w:r w:rsidR="007F4BDA" w:rsidRPr="00543E2D">
        <w:t xml:space="preserve"> Sedangkan menurut </w:t>
      </w:r>
      <w:r w:rsidR="007F4BDA" w:rsidRPr="00543E2D">
        <w:rPr>
          <w:rFonts w:ascii="Times New Arabic" w:hAnsi="Times New Arabic"/>
        </w:rPr>
        <w:t>al-Qurtubi</w:t>
      </w:r>
      <w:r w:rsidR="007F4BDA" w:rsidRPr="00543E2D">
        <w:t xml:space="preserve">: </w:t>
      </w:r>
      <w:r w:rsidR="007F4BDA" w:rsidRPr="00543E2D">
        <w:rPr>
          <w:rtl/>
        </w:rPr>
        <w:t xml:space="preserve"> ما</w:t>
      </w:r>
      <w:r w:rsidR="007F4BDA" w:rsidRPr="00543E2D">
        <w:rPr>
          <w:rFonts w:hint="cs"/>
          <w:rtl/>
        </w:rPr>
        <w:t xml:space="preserve"> إ</w:t>
      </w:r>
      <w:r w:rsidR="007F4BDA" w:rsidRPr="00543E2D">
        <w:rPr>
          <w:rtl/>
        </w:rPr>
        <w:t>رتفع من الأرض</w:t>
      </w:r>
      <w:r w:rsidR="007F4BDA" w:rsidRPr="00543E2D">
        <w:t>(suatu yang terangkat ke atas dari bumi).</w:t>
      </w:r>
      <w:r w:rsidR="007F4BDA" w:rsidRPr="00543E2D">
        <w:rPr>
          <w:rStyle w:val="FootnoteReference"/>
        </w:rPr>
        <w:footnoteReference w:id="4"/>
      </w:r>
      <w:r w:rsidR="007F4BDA" w:rsidRPr="00543E2D">
        <w:t xml:space="preserve"> Adapun Ahmad Warson al-Munawwir dalam kamusnya memberi arti </w:t>
      </w:r>
      <w:r w:rsidR="007F4BDA" w:rsidRPr="00543E2D">
        <w:rPr>
          <w:rFonts w:ascii="Times New Arabic" w:hAnsi="Times New Arabic"/>
          <w:i/>
          <w:iCs/>
        </w:rPr>
        <w:t>nusyuz</w:t>
      </w:r>
      <w:r w:rsidR="007F4BDA" w:rsidRPr="00543E2D">
        <w:t>dengan arti sesuatu yang menonjol di dalam, atau dari suatu tempatnya. Dan jika konteksnya dikaitkan dengan hubugan suami-isteri maka ia mengartikan sebagai sikap isteri yang durhaka, menentang dan membenci kepada suaminya.</w:t>
      </w:r>
      <w:r w:rsidR="007F4BDA" w:rsidRPr="00543E2D">
        <w:rPr>
          <w:rStyle w:val="FootnoteReference"/>
        </w:rPr>
        <w:footnoteReference w:id="5"/>
      </w:r>
    </w:p>
    <w:p w:rsidR="007F4BDA" w:rsidRPr="00543E2D" w:rsidRDefault="000E0C5C" w:rsidP="004A0899">
      <w:pPr>
        <w:spacing w:line="480" w:lineRule="auto"/>
        <w:ind w:left="720" w:firstLine="720"/>
        <w:jc w:val="lowKashida"/>
      </w:pPr>
      <w:r>
        <w:rPr>
          <w:noProof/>
          <w:lang w:val="id-ID" w:eastAsia="id-ID"/>
        </w:rPr>
        <w:pict>
          <v:rect id="_x0000_s1027" style="position:absolute;left:0;text-align:left;margin-left:190.5pt;margin-top:223.35pt;width:28.5pt;height:22.5pt;z-index:251659264" strokecolor="white [3212]">
            <v:textbox>
              <w:txbxContent>
                <w:p w:rsidR="00391CB8" w:rsidRPr="00391CB8" w:rsidRDefault="00391CB8">
                  <w:pPr>
                    <w:rPr>
                      <w:lang w:val="id-ID"/>
                    </w:rPr>
                  </w:pPr>
                  <w:r>
                    <w:rPr>
                      <w:lang w:val="id-ID"/>
                    </w:rPr>
                    <w:t>8</w:t>
                  </w:r>
                </w:p>
              </w:txbxContent>
            </v:textbox>
          </v:rect>
        </w:pict>
      </w:r>
      <w:r w:rsidR="00573417">
        <w:t>Secara terminologi</w:t>
      </w:r>
      <w:r w:rsidR="007F4BDA" w:rsidRPr="00543E2D">
        <w:t xml:space="preserve">, </w:t>
      </w:r>
      <w:r w:rsidR="007F4BDA" w:rsidRPr="00543E2D">
        <w:rPr>
          <w:rFonts w:ascii="Times New Arabic" w:hAnsi="Times New Arabic"/>
          <w:i/>
          <w:iCs/>
        </w:rPr>
        <w:t>nusyuz</w:t>
      </w:r>
      <w:r w:rsidR="007F4BDA" w:rsidRPr="00543E2D">
        <w:t xml:space="preserve"> mempunyai beberapa pengertian </w:t>
      </w:r>
      <w:r w:rsidR="00573417">
        <w:t>yaitu</w:t>
      </w:r>
      <w:r w:rsidR="007F4BDA" w:rsidRPr="00543E2D">
        <w:t xml:space="preserve">: Menurut </w:t>
      </w:r>
      <w:r w:rsidR="007F4BDA" w:rsidRPr="00543E2D">
        <w:rPr>
          <w:rFonts w:ascii="Times New Arabic" w:hAnsi="Times New Arabic"/>
        </w:rPr>
        <w:t>fuqaha Hanafiyah</w:t>
      </w:r>
      <w:r w:rsidR="007F4BDA" w:rsidRPr="00543E2D">
        <w:t xml:space="preserve"> seperti yang dikemukakan </w:t>
      </w:r>
      <w:r w:rsidR="007F4BDA" w:rsidRPr="00543E2D">
        <w:rPr>
          <w:rFonts w:ascii="Times New Arabic" w:hAnsi="Times New Arabic"/>
        </w:rPr>
        <w:t>Saleh Ganim</w:t>
      </w:r>
      <w:r w:rsidR="00573417">
        <w:t xml:space="preserve"> yaitu“</w:t>
      </w:r>
      <w:r w:rsidR="007F4BDA" w:rsidRPr="00543E2D">
        <w:t xml:space="preserve">dengan ketidaksenangan yang terjadi diantara suami-isteri. Ulama mazhab </w:t>
      </w:r>
      <w:r w:rsidR="007F4BDA" w:rsidRPr="00543E2D">
        <w:rPr>
          <w:rFonts w:ascii="Times New Arabic" w:hAnsi="Times New Arabic"/>
        </w:rPr>
        <w:t>Maliki</w:t>
      </w:r>
      <w:r w:rsidR="007F4BDA" w:rsidRPr="00543E2D">
        <w:t>berpendapat  bahwa</w:t>
      </w:r>
      <w:r w:rsidR="007F4BDA" w:rsidRPr="00543E2D">
        <w:rPr>
          <w:rFonts w:ascii="Times New Arabic" w:hAnsi="Times New Arabic"/>
          <w:i/>
          <w:iCs/>
        </w:rPr>
        <w:t>nusyuz</w:t>
      </w:r>
      <w:r w:rsidR="007F4BDA" w:rsidRPr="00543E2D">
        <w:t xml:space="preserve"> adalah saling menganiaya suami isteri. Sedangkan menurut ulama </w:t>
      </w:r>
      <w:r w:rsidR="007F4BDA" w:rsidRPr="00543E2D">
        <w:rPr>
          <w:rFonts w:ascii="Times New Arabic" w:hAnsi="Times New Arabic"/>
        </w:rPr>
        <w:t xml:space="preserve">Syafi’iyah </w:t>
      </w:r>
      <w:r w:rsidR="007F4BDA" w:rsidRPr="00543E2D">
        <w:rPr>
          <w:rFonts w:ascii="Times New Arabic" w:hAnsi="Times New Arabic"/>
          <w:i/>
          <w:iCs/>
        </w:rPr>
        <w:t>nusyuz</w:t>
      </w:r>
      <w:r w:rsidR="007F4BDA" w:rsidRPr="00543E2D">
        <w:t xml:space="preserve"> adalah perselisihan diantara suami-isteri, sementara itu ulama </w:t>
      </w:r>
      <w:r w:rsidR="007F4BDA" w:rsidRPr="00543E2D">
        <w:rPr>
          <w:rFonts w:ascii="Times New Arabic" w:hAnsi="Times New Arabic"/>
        </w:rPr>
        <w:t>Hambaliyah</w:t>
      </w:r>
      <w:r w:rsidR="007F4BDA" w:rsidRPr="00543E2D">
        <w:t xml:space="preserve"> mendefinisikanya </w:t>
      </w:r>
      <w:r w:rsidR="007F4BDA" w:rsidRPr="00543E2D">
        <w:lastRenderedPageBreak/>
        <w:t>dengan ketidak-senangan dari pihak isteri atau suami yang disertai dengan pergaulan yang tidak harmonis.</w:t>
      </w:r>
      <w:r w:rsidR="007F4BDA" w:rsidRPr="00543E2D">
        <w:rPr>
          <w:rStyle w:val="FootnoteReference"/>
        </w:rPr>
        <w:footnoteReference w:id="6"/>
      </w:r>
    </w:p>
    <w:p w:rsidR="007F4BDA" w:rsidRPr="00543E2D" w:rsidRDefault="007F4BDA" w:rsidP="00573417">
      <w:pPr>
        <w:spacing w:line="480" w:lineRule="auto"/>
        <w:ind w:left="720" w:firstLine="720"/>
        <w:jc w:val="lowKashida"/>
      </w:pPr>
      <w:r w:rsidRPr="00543E2D">
        <w:t xml:space="preserve">Menurut </w:t>
      </w:r>
      <w:r w:rsidRPr="00543E2D">
        <w:rPr>
          <w:rFonts w:ascii="Times New Arabic" w:hAnsi="Times New Arabic"/>
        </w:rPr>
        <w:t>Ibnu Manzur</w:t>
      </w:r>
      <w:r w:rsidRPr="00543E2D">
        <w:t xml:space="preserve">, secara terminologis </w:t>
      </w:r>
      <w:r w:rsidRPr="00543E2D">
        <w:rPr>
          <w:rFonts w:ascii="Times New Arabic" w:hAnsi="Times New Arabic"/>
          <w:i/>
          <w:iCs/>
        </w:rPr>
        <w:t>nusyuz</w:t>
      </w:r>
      <w:r w:rsidRPr="00543E2D">
        <w:t>ialah rasa kebencian suami terhadap  isteri atau sebaliknya.</w:t>
      </w:r>
      <w:r w:rsidRPr="00543E2D">
        <w:rPr>
          <w:rStyle w:val="FootnoteReference"/>
        </w:rPr>
        <w:footnoteReference w:id="7"/>
      </w:r>
      <w:r w:rsidRPr="00543E2D">
        <w:t xml:space="preserve"> Sedangkan menurut </w:t>
      </w:r>
      <w:r w:rsidRPr="00543E2D">
        <w:rPr>
          <w:rFonts w:ascii="Times New Arabic" w:hAnsi="Times New Arabic"/>
        </w:rPr>
        <w:t>Wahbah Az-Zuhaili</w:t>
      </w:r>
      <w:r w:rsidRPr="00543E2D">
        <w:t xml:space="preserve">, guru besar ilmu fiqh dan ushul fiqh pada Universitas Damaskus, mengartikan </w:t>
      </w:r>
      <w:r w:rsidRPr="00543E2D">
        <w:rPr>
          <w:rFonts w:ascii="Times New Arabic" w:hAnsi="Times New Arabic"/>
          <w:i/>
          <w:iCs/>
        </w:rPr>
        <w:t>nusyuz</w:t>
      </w:r>
      <w:r w:rsidRPr="00543E2D">
        <w:t>sebagai ketidakpatuhan atau kebencian suami kepada isteri terhadap apa yang seharusnya dipatuhi, begitu pun sebaliknya.</w:t>
      </w:r>
      <w:r w:rsidRPr="00543E2D">
        <w:rPr>
          <w:rStyle w:val="FootnoteReference"/>
        </w:rPr>
        <w:footnoteReference w:id="8"/>
      </w:r>
      <w:r w:rsidRPr="00543E2D">
        <w:t xml:space="preserve">Isteri yang melakukan </w:t>
      </w:r>
      <w:r w:rsidRPr="00543E2D">
        <w:rPr>
          <w:rFonts w:ascii="Times New Arabic" w:hAnsi="Times New Arabic"/>
          <w:i/>
          <w:iCs/>
        </w:rPr>
        <w:t>nusyuz</w:t>
      </w:r>
      <w:r w:rsidRPr="00543E2D">
        <w:t xml:space="preserve"> dalam Kompilasi Hukum Islam  didifinisikan sebagai sebuah sikap ketika isteri tidak mau melaksanakan kewajibannya yaitu kewajiban utama berbakti lakhir dan batin kepada suami dan kewajiban lainnya adalah menyelenggarakan dan mengatur keperluan rumah tangga sehari-hari dengan sebaik-baiknya.</w:t>
      </w:r>
      <w:r w:rsidRPr="00543E2D">
        <w:rPr>
          <w:rStyle w:val="FootnoteReference"/>
        </w:rPr>
        <w:footnoteReference w:id="9"/>
      </w:r>
    </w:p>
    <w:p w:rsidR="007F4BDA" w:rsidRPr="00543E2D" w:rsidRDefault="007F4BDA" w:rsidP="004A0899">
      <w:pPr>
        <w:spacing w:line="480" w:lineRule="auto"/>
        <w:ind w:left="720" w:firstLine="720"/>
        <w:jc w:val="lowKashida"/>
      </w:pPr>
      <w:r w:rsidRPr="00543E2D">
        <w:t xml:space="preserve">Bagi sebagian ulama berpendapat bahwa </w:t>
      </w:r>
      <w:r w:rsidRPr="00543E2D">
        <w:rPr>
          <w:rFonts w:ascii="Times New Arabic" w:hAnsi="Times New Arabic"/>
          <w:i/>
          <w:iCs/>
        </w:rPr>
        <w:t>nusyuz</w:t>
      </w:r>
      <w:r w:rsidRPr="00543E2D">
        <w:t xml:space="preserve"> tidak sama dengan </w:t>
      </w:r>
      <w:r w:rsidRPr="00543E2D">
        <w:rPr>
          <w:rFonts w:ascii="Times New Arabic" w:hAnsi="Times New Arabic"/>
          <w:i/>
          <w:iCs/>
        </w:rPr>
        <w:t>syiqaq</w:t>
      </w:r>
      <w:r w:rsidRPr="00543E2D">
        <w:t xml:space="preserve">, karena </w:t>
      </w:r>
      <w:r w:rsidRPr="00543E2D">
        <w:rPr>
          <w:rFonts w:ascii="Times New Arabic" w:hAnsi="Times New Arabic"/>
          <w:i/>
          <w:iCs/>
        </w:rPr>
        <w:t>nusyuz</w:t>
      </w:r>
      <w:r w:rsidRPr="00543E2D">
        <w:t xml:space="preserve">dilakukan oleh salah satu pasangan dari suami-isteri. </w:t>
      </w:r>
      <w:r w:rsidRPr="00543E2D">
        <w:rPr>
          <w:rFonts w:ascii="Times New Arabic" w:hAnsi="Times New Arabic"/>
          <w:i/>
          <w:iCs/>
        </w:rPr>
        <w:t>Nusyuz</w:t>
      </w:r>
      <w:r w:rsidRPr="00543E2D">
        <w:t xml:space="preserve"> berawal dari salah satu pihak, baik dari isteri maupun suami bukan kedua-duanya secara bersama-sama, karena hal tersebut bukan lagi merupakan </w:t>
      </w:r>
      <w:r w:rsidRPr="00543E2D">
        <w:rPr>
          <w:rFonts w:ascii="Times New Arabic" w:hAnsi="Times New Arabic"/>
          <w:i/>
          <w:iCs/>
        </w:rPr>
        <w:t>nusyuz</w:t>
      </w:r>
      <w:r w:rsidRPr="00543E2D">
        <w:t xml:space="preserve">melainkan dikategorikan sebagai </w:t>
      </w:r>
      <w:r w:rsidRPr="00543E2D">
        <w:rPr>
          <w:rFonts w:ascii="Times New Arabic" w:hAnsi="Times New Arabic"/>
          <w:i/>
          <w:iCs/>
        </w:rPr>
        <w:t>syiqaq</w:t>
      </w:r>
      <w:r w:rsidRPr="00543E2D">
        <w:t>.</w:t>
      </w:r>
      <w:r w:rsidRPr="00543E2D">
        <w:rPr>
          <w:rStyle w:val="FootnoteReference"/>
        </w:rPr>
        <w:footnoteReference w:id="10"/>
      </w:r>
      <w:r w:rsidRPr="00543E2D">
        <w:t xml:space="preserve">Begitu pula mereka membedakan antara </w:t>
      </w:r>
      <w:r w:rsidRPr="00543E2D">
        <w:rPr>
          <w:rFonts w:ascii="Times New Arabic" w:hAnsi="Times New Arabic"/>
          <w:i/>
          <w:iCs/>
        </w:rPr>
        <w:t>nusyuz</w:t>
      </w:r>
      <w:r w:rsidRPr="00543E2D">
        <w:t xml:space="preserve"> dan </w:t>
      </w:r>
      <w:r w:rsidRPr="00543E2D">
        <w:rPr>
          <w:rFonts w:ascii="Times New Arabic" w:hAnsi="Times New Arabic"/>
          <w:i/>
          <w:iCs/>
        </w:rPr>
        <w:t>i’radh</w:t>
      </w:r>
      <w:r w:rsidRPr="00543E2D">
        <w:t>.</w:t>
      </w:r>
      <w:r w:rsidRPr="00543E2D">
        <w:rPr>
          <w:rStyle w:val="FootnoteReference"/>
        </w:rPr>
        <w:footnoteReference w:id="11"/>
      </w:r>
      <w:r w:rsidRPr="00543E2D">
        <w:t xml:space="preserve"> Menurut mereka, dengan </w:t>
      </w:r>
      <w:r w:rsidRPr="00543E2D">
        <w:lastRenderedPageBreak/>
        <w:t xml:space="preserve">memperbandingkan antara surat </w:t>
      </w:r>
      <w:r w:rsidRPr="00543E2D">
        <w:rPr>
          <w:rFonts w:ascii="Times New Arabic" w:hAnsi="Times New Arabic"/>
        </w:rPr>
        <w:t>an-Nisa’</w:t>
      </w:r>
      <w:r w:rsidRPr="00543E2D">
        <w:t xml:space="preserve"> (4): 34 dengan </w:t>
      </w:r>
      <w:r w:rsidRPr="00543E2D">
        <w:rPr>
          <w:rFonts w:ascii="Times New Arabic" w:hAnsi="Times New Arabic"/>
        </w:rPr>
        <w:t>an-Nisa’</w:t>
      </w:r>
      <w:r w:rsidRPr="00543E2D">
        <w:t xml:space="preserve"> (4): 128 dapat ditarik sebuah pemahaman bahwa pengertian kata </w:t>
      </w:r>
      <w:r w:rsidRPr="00543E2D">
        <w:rPr>
          <w:rFonts w:ascii="Times New Arabic" w:hAnsi="Times New Arabic"/>
          <w:i/>
          <w:iCs/>
        </w:rPr>
        <w:t xml:space="preserve">nusyuz </w:t>
      </w:r>
      <w:r w:rsidRPr="00543E2D">
        <w:t xml:space="preserve">lebih menyeluruh dari pada kata </w:t>
      </w:r>
      <w:r w:rsidRPr="00543E2D">
        <w:rPr>
          <w:rFonts w:ascii="Times New Arabic" w:hAnsi="Times New Arabic"/>
          <w:i/>
          <w:iCs/>
        </w:rPr>
        <w:t>i’radh</w:t>
      </w:r>
      <w:r w:rsidRPr="00543E2D">
        <w:t xml:space="preserve">. Hal ini tentu saja dikarenakan kandungan arti kata </w:t>
      </w:r>
      <w:r w:rsidRPr="00543E2D">
        <w:rPr>
          <w:rFonts w:ascii="Times New Arabic" w:hAnsi="Times New Arabic"/>
          <w:i/>
          <w:iCs/>
        </w:rPr>
        <w:t>nusyuz</w:t>
      </w:r>
      <w:r w:rsidRPr="00543E2D">
        <w:t xml:space="preserve"> melingkupi seluruh jenis perlakuan buruk dari suami dan isteri dalam hidup rumah tangga. Sedangkan </w:t>
      </w:r>
      <w:r w:rsidRPr="00543E2D">
        <w:rPr>
          <w:rFonts w:ascii="Times New Arabic" w:hAnsi="Times New Arabic"/>
          <w:i/>
          <w:iCs/>
        </w:rPr>
        <w:t xml:space="preserve">i’radh </w:t>
      </w:r>
      <w:r w:rsidRPr="00543E2D">
        <w:t xml:space="preserve">hanya sebatas beralihnya perhatian suami dari isterinya kepada sesuatu yang lain. </w:t>
      </w:r>
    </w:p>
    <w:p w:rsidR="007F4BDA" w:rsidRPr="006E1506" w:rsidRDefault="005E0358" w:rsidP="006E1506">
      <w:pPr>
        <w:spacing w:line="480" w:lineRule="auto"/>
        <w:ind w:left="720" w:firstLine="720"/>
        <w:jc w:val="lowKashida"/>
        <w:rPr>
          <w:lang w:val="id-ID"/>
        </w:rPr>
      </w:pPr>
      <w:r>
        <w:rPr>
          <w:lang w:val="id-ID"/>
        </w:rPr>
        <w:t xml:space="preserve">Berdasarkan </w:t>
      </w:r>
      <w:r w:rsidR="007F4BDA" w:rsidRPr="00543E2D">
        <w:t xml:space="preserve">pengertian di atas, ternyata  para ulama memiliki pandangan yang tidak jauh berbeda antara satu dengan yang lainya. Dan sebagai kesimpulannya,  disamping perbuatan </w:t>
      </w:r>
      <w:r w:rsidR="007F4BDA" w:rsidRPr="00543E2D">
        <w:rPr>
          <w:rFonts w:ascii="Times New Arabic" w:hAnsi="Times New Arabic"/>
          <w:i/>
          <w:iCs/>
        </w:rPr>
        <w:t>nusyuz</w:t>
      </w:r>
      <w:r w:rsidR="007F4BDA" w:rsidRPr="00543E2D">
        <w:t xml:space="preserve"> selain mungkin saja dilakukan oleh seorang isteri, juga mungkin bila dilakukan oleh seorang suami, jika suami tidak mempergauli isterinya dengan baik atau ia melakukan tindakan-tindakan yang melebihi batas-batas hak dan kewenangannya dalam memperlakukan isteri yang </w:t>
      </w:r>
      <w:r w:rsidR="007F4BDA" w:rsidRPr="00543E2D">
        <w:rPr>
          <w:rFonts w:ascii="Times New Arabic" w:hAnsi="Times New Arabic"/>
          <w:i/>
          <w:iCs/>
        </w:rPr>
        <w:t>nusyuz</w:t>
      </w:r>
      <w:r w:rsidR="007F4BDA" w:rsidRPr="00543E2D">
        <w:t>sebagaimana yang digariskan oleh ajaran agama.</w:t>
      </w:r>
    </w:p>
    <w:p w:rsidR="007F4BDA" w:rsidRPr="00543E2D" w:rsidRDefault="007F4BDA" w:rsidP="004A0899">
      <w:pPr>
        <w:pStyle w:val="Heading1"/>
        <w:numPr>
          <w:ilvl w:val="0"/>
          <w:numId w:val="8"/>
        </w:numPr>
        <w:spacing w:line="480" w:lineRule="auto"/>
        <w:ind w:left="720"/>
        <w:jc w:val="lowKashida"/>
        <w:rPr>
          <w:rFonts w:ascii="Times New Arabic" w:hAnsi="Times New Arabic"/>
          <w:b/>
          <w:u w:val="none"/>
        </w:rPr>
      </w:pPr>
      <w:r w:rsidRPr="00543E2D">
        <w:rPr>
          <w:b/>
          <w:u w:val="none"/>
        </w:rPr>
        <w:t xml:space="preserve">Dasar Hukum Perbuatan </w:t>
      </w:r>
      <w:r w:rsidRPr="00543E2D">
        <w:rPr>
          <w:rFonts w:ascii="Times New Arabic" w:hAnsi="Times New Arabic"/>
          <w:b/>
          <w:i/>
          <w:iCs/>
          <w:u w:val="none"/>
        </w:rPr>
        <w:t>Nusyuz</w:t>
      </w:r>
    </w:p>
    <w:p w:rsidR="007F4BDA" w:rsidRPr="00543E2D" w:rsidRDefault="00573417" w:rsidP="004A0899">
      <w:pPr>
        <w:spacing w:line="480" w:lineRule="auto"/>
        <w:ind w:left="720" w:firstLine="720"/>
        <w:jc w:val="lowKashida"/>
      </w:pPr>
      <w:r>
        <w:t>S</w:t>
      </w:r>
      <w:r w:rsidR="007F4BDA" w:rsidRPr="00543E2D">
        <w:t xml:space="preserve">ewaktu melaksanakan perkawinan dikhutbahkan agar suami-isteri bisa saling menjaga untuk dapat terciptanya kehidupan yang </w:t>
      </w:r>
      <w:r w:rsidR="007F4BDA" w:rsidRPr="00543E2D">
        <w:rPr>
          <w:i/>
          <w:iCs/>
        </w:rPr>
        <w:t>mawaddah warahmah</w:t>
      </w:r>
      <w:r w:rsidR="007F4BDA" w:rsidRPr="00543E2D">
        <w:t xml:space="preserve"> diantara mereka.Akan tetapi, dalam kenyataanya konflik dan kesalah-pahaman diantara mereka kerap kali terjadi sehingga melunturkan semua yang diharapkan.</w:t>
      </w:r>
    </w:p>
    <w:p w:rsidR="00FE608F" w:rsidRPr="007A5CB8" w:rsidRDefault="007F4BDA" w:rsidP="007A5CB8">
      <w:pPr>
        <w:spacing w:line="480" w:lineRule="auto"/>
        <w:ind w:left="720" w:firstLine="720"/>
        <w:jc w:val="lowKashida"/>
        <w:rPr>
          <w:lang w:val="id-ID"/>
        </w:rPr>
      </w:pPr>
      <w:r w:rsidRPr="00543E2D">
        <w:lastRenderedPageBreak/>
        <w:t xml:space="preserve">Timbulnya konflik dalam rumah tangga tersebut pada akhirnya kerap kali mengarah pada apa yang disebut dalam fiqh dengan istilah </w:t>
      </w:r>
      <w:r w:rsidRPr="00543E2D">
        <w:rPr>
          <w:rFonts w:ascii="Times New Arabic" w:hAnsi="Times New Arabic"/>
          <w:i/>
          <w:iCs/>
        </w:rPr>
        <w:t>nusyuz</w:t>
      </w:r>
      <w:r w:rsidRPr="00543E2D">
        <w:rPr>
          <w:i/>
          <w:iCs/>
        </w:rPr>
        <w:t xml:space="preserve">. </w:t>
      </w:r>
      <w:r w:rsidRPr="00543E2D">
        <w:t xml:space="preserve">Hal ini dapat ditemukan dalam Ayat </w:t>
      </w:r>
      <w:r w:rsidRPr="00543E2D">
        <w:rPr>
          <w:rFonts w:ascii="Times New Arabic" w:hAnsi="Times New Arabic"/>
        </w:rPr>
        <w:t>al-Qur’an</w:t>
      </w:r>
      <w:r w:rsidRPr="00543E2D">
        <w:t xml:space="preserve">: </w:t>
      </w:r>
    </w:p>
    <w:p w:rsidR="005E0358" w:rsidRDefault="005E0358" w:rsidP="005E0358">
      <w:pPr>
        <w:bidi/>
        <w:ind w:left="6" w:right="1418" w:hanging="11"/>
        <w:jc w:val="both"/>
        <w:rPr>
          <w:rFonts w:ascii="(normal text)" w:hAnsi="(normal text)"/>
          <w:rtl/>
        </w:rPr>
      </w:pPr>
      <w:r>
        <w:rPr>
          <w:sz w:val="28"/>
          <w:szCs w:val="28"/>
        </w:rPr>
        <w:sym w:font="HQPB4" w:char="F0E3"/>
      </w:r>
      <w:r>
        <w:rPr>
          <w:sz w:val="28"/>
          <w:szCs w:val="28"/>
        </w:rPr>
        <w:sym w:font="HQPB2" w:char="F041"/>
      </w:r>
      <w:r>
        <w:rPr>
          <w:sz w:val="28"/>
          <w:szCs w:val="28"/>
        </w:rPr>
        <w:sym w:font="HQPB1" w:char="F025"/>
      </w:r>
      <w:r>
        <w:rPr>
          <w:sz w:val="28"/>
          <w:szCs w:val="28"/>
        </w:rPr>
        <w:sym w:font="HQPB5" w:char="F079"/>
      </w:r>
      <w:r>
        <w:rPr>
          <w:sz w:val="28"/>
          <w:szCs w:val="28"/>
        </w:rPr>
        <w:sym w:font="HQPB1" w:char="F060"/>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3"/>
      </w:r>
      <w:r>
        <w:rPr>
          <w:sz w:val="28"/>
          <w:szCs w:val="28"/>
        </w:rPr>
        <w:sym w:font="HQPB2" w:char="F042"/>
      </w:r>
      <w:r>
        <w:rPr>
          <w:sz w:val="28"/>
          <w:szCs w:val="28"/>
        </w:rPr>
        <w:sym w:font="HQPB2" w:char="F0BA"/>
      </w:r>
      <w:r>
        <w:rPr>
          <w:sz w:val="28"/>
          <w:szCs w:val="28"/>
        </w:rPr>
        <w:sym w:font="HQPB4" w:char="F0A7"/>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C"/>
      </w:r>
      <w:r>
        <w:rPr>
          <w:sz w:val="28"/>
          <w:szCs w:val="28"/>
        </w:rPr>
        <w:sym w:font="HQPB1" w:char="F0A1"/>
      </w:r>
      <w:r>
        <w:rPr>
          <w:sz w:val="28"/>
          <w:szCs w:val="28"/>
        </w:rPr>
        <w:sym w:font="HQPB4" w:char="F0CF"/>
      </w:r>
      <w:r>
        <w:rPr>
          <w:sz w:val="28"/>
          <w:szCs w:val="28"/>
        </w:rPr>
        <w:sym w:font="HQPB4" w:char="F069"/>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9E"/>
      </w:r>
      <w:r>
        <w:rPr>
          <w:sz w:val="28"/>
          <w:szCs w:val="28"/>
        </w:rPr>
        <w:sym w:font="HQPB1" w:char="F0D2"/>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9F"/>
      </w:r>
      <w:r>
        <w:rPr>
          <w:sz w:val="28"/>
          <w:szCs w:val="28"/>
        </w:rPr>
        <w:sym w:font="HQPB1" w:char="F0D2"/>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C"/>
      </w:r>
      <w:r>
        <w:rPr>
          <w:sz w:val="28"/>
          <w:szCs w:val="28"/>
        </w:rPr>
        <w:sym w:font="HQPB1" w:char="F0D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5" w:char="F078"/>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4" w:char="F0CF"/>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BB"/>
      </w:r>
      <w:r>
        <w:rPr>
          <w:sz w:val="28"/>
          <w:szCs w:val="28"/>
        </w:rPr>
        <w:sym w:font="HQPB5" w:char="F079"/>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C"/>
      </w:r>
      <w:r>
        <w:rPr>
          <w:sz w:val="28"/>
          <w:szCs w:val="28"/>
        </w:rPr>
        <w:sym w:font="HQPB1" w:char="F04D"/>
      </w:r>
      <w:r>
        <w:rPr>
          <w:sz w:val="28"/>
          <w:szCs w:val="28"/>
        </w:rPr>
        <w:sym w:font="HQPB2" w:char="F0BB"/>
      </w:r>
      <w:r>
        <w:rPr>
          <w:sz w:val="28"/>
          <w:szCs w:val="28"/>
        </w:rPr>
        <w:sym w:font="HQPB5" w:char="F074"/>
      </w:r>
      <w:r>
        <w:rPr>
          <w:sz w:val="28"/>
          <w:szCs w:val="28"/>
        </w:rPr>
        <w:sym w:font="HQPB1" w:char="F047"/>
      </w:r>
      <w:r>
        <w:rPr>
          <w:sz w:val="28"/>
          <w:szCs w:val="28"/>
        </w:rPr>
        <w:sym w:font="HQPB4" w:char="F0CF"/>
      </w:r>
      <w:r>
        <w:rPr>
          <w:sz w:val="28"/>
          <w:szCs w:val="28"/>
        </w:rPr>
        <w:sym w:font="HQPB2" w:char="F05A"/>
      </w:r>
      <w:r>
        <w:rPr>
          <w:sz w:val="28"/>
          <w:szCs w:val="28"/>
        </w:rPr>
        <w:sym w:font="HQPB2" w:char="F0BB"/>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D7"/>
      </w:r>
      <w:r>
        <w:rPr>
          <w:sz w:val="28"/>
          <w:szCs w:val="28"/>
        </w:rPr>
        <w:sym w:font="HQPB1" w:char="F04D"/>
      </w:r>
      <w:r>
        <w:rPr>
          <w:sz w:val="28"/>
          <w:szCs w:val="28"/>
        </w:rPr>
        <w:sym w:font="HQPB2" w:char="F0BB"/>
      </w:r>
      <w:r>
        <w:rPr>
          <w:sz w:val="28"/>
          <w:szCs w:val="28"/>
        </w:rPr>
        <w:sym w:font="HQPB5" w:char="F073"/>
      </w:r>
      <w:r>
        <w:rPr>
          <w:sz w:val="28"/>
          <w:szCs w:val="28"/>
        </w:rPr>
        <w:sym w:font="HQPB1" w:char="F0E0"/>
      </w:r>
      <w:r>
        <w:rPr>
          <w:sz w:val="28"/>
          <w:szCs w:val="28"/>
        </w:rPr>
        <w:sym w:font="HQPB4" w:char="F0CF"/>
      </w:r>
      <w:r>
        <w:rPr>
          <w:sz w:val="28"/>
          <w:szCs w:val="28"/>
        </w:rPr>
        <w:sym w:font="HQPB1" w:char="F0FF"/>
      </w:r>
      <w:r>
        <w:rPr>
          <w:sz w:val="28"/>
          <w:szCs w:val="28"/>
        </w:rPr>
        <w:sym w:font="HQPB2" w:char="F0BB"/>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C9"/>
      </w:r>
      <w:r>
        <w:rPr>
          <w:sz w:val="28"/>
          <w:szCs w:val="28"/>
        </w:rPr>
        <w:sym w:font="HQPB1" w:char="F03D"/>
      </w:r>
      <w:r>
        <w:rPr>
          <w:sz w:val="28"/>
          <w:szCs w:val="28"/>
        </w:rPr>
        <w:sym w:font="HQPB4" w:char="F0F8"/>
      </w:r>
      <w:r>
        <w:rPr>
          <w:sz w:val="28"/>
          <w:szCs w:val="28"/>
        </w:rPr>
        <w:sym w:font="HQPB2" w:char="F08B"/>
      </w:r>
      <w:r>
        <w:rPr>
          <w:sz w:val="28"/>
          <w:szCs w:val="28"/>
        </w:rPr>
        <w:sym w:font="HQPB5" w:char="F074"/>
      </w:r>
      <w:r>
        <w:rPr>
          <w:sz w:val="28"/>
          <w:szCs w:val="28"/>
        </w:rPr>
        <w:sym w:font="HQPB1" w:char="F0F3"/>
      </w:r>
      <w:r>
        <w:rPr>
          <w:sz w:val="28"/>
          <w:szCs w:val="28"/>
        </w:rPr>
        <w:sym w:font="HQPB4" w:char="F0F9"/>
      </w:r>
      <w:r>
        <w:rPr>
          <w:sz w:val="28"/>
          <w:szCs w:val="28"/>
        </w:rPr>
        <w:sym w:font="HQPB2" w:char="F03D"/>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8"/>
      </w:r>
      <w:r>
        <w:rPr>
          <w:sz w:val="28"/>
          <w:szCs w:val="28"/>
        </w:rPr>
        <w:sym w:font="HQPB1" w:char="F0E1"/>
      </w:r>
      <w:r>
        <w:rPr>
          <w:sz w:val="28"/>
          <w:szCs w:val="28"/>
        </w:rPr>
        <w:sym w:font="HQPB4" w:char="F0CF"/>
      </w:r>
      <w:r>
        <w:rPr>
          <w:sz w:val="28"/>
          <w:szCs w:val="28"/>
        </w:rPr>
        <w:sym w:font="HQPB1" w:char="F0FF"/>
      </w:r>
      <w:r>
        <w:rPr>
          <w:sz w:val="28"/>
          <w:szCs w:val="28"/>
        </w:rPr>
        <w:sym w:font="HQPB5" w:char="F079"/>
      </w:r>
      <w:r>
        <w:rPr>
          <w:sz w:val="28"/>
          <w:szCs w:val="28"/>
        </w:rPr>
        <w:sym w:font="HQPB1" w:char="F06D"/>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2" w:char="F0BB"/>
      </w:r>
      <w:r>
        <w:rPr>
          <w:sz w:val="28"/>
          <w:szCs w:val="28"/>
        </w:rPr>
        <w:sym w:font="HQPB4" w:char="F0A9"/>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1" w:char="F0F9"/>
      </w:r>
      <w:r>
        <w:rPr>
          <w:sz w:val="28"/>
          <w:szCs w:val="28"/>
        </w:rPr>
        <w:sym w:font="HQPB1" w:char="F024"/>
      </w:r>
      <w:r>
        <w:rPr>
          <w:sz w:val="28"/>
          <w:szCs w:val="28"/>
        </w:rPr>
        <w:sym w:font="HQPB5" w:char="F073"/>
      </w:r>
      <w:r>
        <w:rPr>
          <w:sz w:val="28"/>
          <w:szCs w:val="28"/>
        </w:rPr>
        <w:sym w:font="HQPB1" w:char="F083"/>
      </w:r>
      <w:r>
        <w:rPr>
          <w:sz w:val="28"/>
          <w:szCs w:val="28"/>
        </w:rPr>
        <w:sym w:font="HQPB5" w:char="F072"/>
      </w:r>
      <w:r>
        <w:rPr>
          <w:sz w:val="28"/>
          <w:szCs w:val="28"/>
        </w:rPr>
        <w:sym w:font="HQPB1" w:char="F042"/>
      </w:r>
      <w:r>
        <w:rPr>
          <w:rFonts w:ascii="(normal text)" w:hAnsi="(normal text)"/>
          <w:rtl/>
        </w:rPr>
        <w:t xml:space="preserve"> </w:t>
      </w:r>
      <w:r>
        <w:rPr>
          <w:sz w:val="28"/>
          <w:szCs w:val="28"/>
        </w:rPr>
        <w:sym w:font="HQPB4" w:char="F0A0"/>
      </w:r>
      <w:r>
        <w:rPr>
          <w:sz w:val="28"/>
          <w:szCs w:val="28"/>
        </w:rPr>
        <w:sym w:font="HQPB2" w:char="F0C6"/>
      </w:r>
      <w:r>
        <w:rPr>
          <w:sz w:val="28"/>
          <w:szCs w:val="28"/>
        </w:rPr>
        <w:sym w:font="HQPB4" w:char="F0E8"/>
      </w:r>
      <w:r>
        <w:rPr>
          <w:sz w:val="28"/>
          <w:szCs w:val="28"/>
        </w:rPr>
        <w:sym w:font="HQPB2" w:char="F064"/>
      </w:r>
      <w:r>
        <w:rPr>
          <w:sz w:val="28"/>
          <w:szCs w:val="28"/>
        </w:rPr>
        <w:sym w:font="HQPB5" w:char="F079"/>
      </w:r>
      <w:r>
        <w:rPr>
          <w:sz w:val="28"/>
          <w:szCs w:val="28"/>
        </w:rPr>
        <w:sym w:font="HQPB1" w:char="F097"/>
      </w:r>
      <w:r>
        <w:rPr>
          <w:sz w:val="28"/>
          <w:szCs w:val="28"/>
        </w:rPr>
        <w:sym w:font="HQPB2" w:char="F071"/>
      </w:r>
      <w:r>
        <w:rPr>
          <w:sz w:val="28"/>
          <w:szCs w:val="28"/>
        </w:rPr>
        <w:sym w:font="HQPB4" w:char="F0E0"/>
      </w:r>
      <w:r>
        <w:rPr>
          <w:sz w:val="28"/>
          <w:szCs w:val="28"/>
        </w:rPr>
        <w:sym w:font="HQPB1" w:char="F0B1"/>
      </w:r>
      <w:r>
        <w:rPr>
          <w:sz w:val="28"/>
          <w:szCs w:val="28"/>
        </w:rPr>
        <w:sym w:font="HQPB4" w:char="F0E8"/>
      </w:r>
      <w:r>
        <w:rPr>
          <w:sz w:val="28"/>
          <w:szCs w:val="28"/>
        </w:rPr>
        <w:sym w:font="HQPB2" w:char="F053"/>
      </w:r>
      <w:r>
        <w:rPr>
          <w:rFonts w:ascii="(normal text)" w:hAnsi="(normal text)"/>
          <w:rtl/>
        </w:rPr>
        <w:t xml:space="preserve"> </w:t>
      </w:r>
      <w:r>
        <w:rPr>
          <w:sz w:val="28"/>
          <w:szCs w:val="28"/>
        </w:rPr>
        <w:sym w:font="HQPB4" w:char="F0A0"/>
      </w:r>
      <w:r>
        <w:rPr>
          <w:sz w:val="28"/>
          <w:szCs w:val="28"/>
        </w:rPr>
        <w:sym w:font="HQPB2" w:char="F0C6"/>
      </w:r>
      <w:r>
        <w:rPr>
          <w:sz w:val="28"/>
          <w:szCs w:val="28"/>
        </w:rPr>
        <w:sym w:font="HQPB4" w:char="F0E8"/>
      </w:r>
      <w:r>
        <w:rPr>
          <w:sz w:val="28"/>
          <w:szCs w:val="28"/>
        </w:rPr>
        <w:sym w:font="HQPB2" w:char="F064"/>
      </w:r>
      <w:r>
        <w:rPr>
          <w:sz w:val="28"/>
          <w:szCs w:val="28"/>
        </w:rPr>
        <w:sym w:font="HQPB2" w:char="F071"/>
      </w:r>
      <w:r>
        <w:rPr>
          <w:sz w:val="28"/>
          <w:szCs w:val="28"/>
        </w:rPr>
        <w:sym w:font="HQPB4" w:char="F0DD"/>
      </w:r>
      <w:r>
        <w:rPr>
          <w:sz w:val="28"/>
          <w:szCs w:val="28"/>
        </w:rPr>
        <w:sym w:font="HQPB1" w:char="F0E0"/>
      </w:r>
      <w:r>
        <w:rPr>
          <w:sz w:val="28"/>
          <w:szCs w:val="28"/>
        </w:rPr>
        <w:sym w:font="HQPB4" w:char="F0CF"/>
      </w:r>
      <w:r>
        <w:rPr>
          <w:sz w:val="28"/>
          <w:szCs w:val="28"/>
        </w:rPr>
        <w:sym w:font="HQPB1" w:char="F0E8"/>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2" w:char="F072"/>
      </w:r>
      <w:r>
        <w:rPr>
          <w:sz w:val="28"/>
          <w:szCs w:val="28"/>
        </w:rPr>
        <w:sym w:font="HQPB4" w:char="F0E3"/>
      </w:r>
      <w:r>
        <w:rPr>
          <w:sz w:val="28"/>
          <w:szCs w:val="28"/>
        </w:rPr>
        <w:sym w:font="HQPB1" w:char="F08D"/>
      </w:r>
      <w:r>
        <w:rPr>
          <w:sz w:val="28"/>
          <w:szCs w:val="28"/>
        </w:rPr>
        <w:sym w:font="HQPB4" w:char="F0E0"/>
      </w:r>
      <w:r>
        <w:rPr>
          <w:sz w:val="28"/>
          <w:szCs w:val="28"/>
        </w:rPr>
        <w:sym w:font="HQPB1" w:char="F066"/>
      </w:r>
      <w:r>
        <w:rPr>
          <w:sz w:val="28"/>
          <w:szCs w:val="28"/>
        </w:rPr>
        <w:sym w:font="HQPB4" w:char="F0F7"/>
      </w:r>
      <w:r>
        <w:rPr>
          <w:sz w:val="28"/>
          <w:szCs w:val="28"/>
        </w:rPr>
        <w:sym w:font="HQPB2" w:char="F064"/>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6"/>
      </w:r>
      <w:r>
        <w:rPr>
          <w:sz w:val="28"/>
          <w:szCs w:val="28"/>
        </w:rPr>
        <w:sym w:font="HQPB1" w:char="F0EC"/>
      </w:r>
      <w:r>
        <w:rPr>
          <w:sz w:val="28"/>
          <w:szCs w:val="28"/>
        </w:rPr>
        <w:sym w:font="HQPB4" w:char="F0C5"/>
      </w:r>
      <w:r>
        <w:rPr>
          <w:sz w:val="28"/>
          <w:szCs w:val="28"/>
        </w:rPr>
        <w:sym w:font="HQPB1" w:char="F05F"/>
      </w:r>
      <w:r>
        <w:rPr>
          <w:sz w:val="28"/>
          <w:szCs w:val="28"/>
        </w:rPr>
        <w:sym w:font="HQPB1" w:char="F024"/>
      </w:r>
      <w:r>
        <w:rPr>
          <w:sz w:val="28"/>
          <w:szCs w:val="28"/>
        </w:rPr>
        <w:sym w:font="HQPB5" w:char="F09F"/>
      </w:r>
      <w:r>
        <w:rPr>
          <w:sz w:val="28"/>
          <w:szCs w:val="28"/>
        </w:rPr>
        <w:sym w:font="HQPB1" w:char="F0D2"/>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2" w:char="F071"/>
      </w:r>
      <w:r>
        <w:rPr>
          <w:sz w:val="28"/>
          <w:szCs w:val="28"/>
        </w:rPr>
        <w:sym w:font="HQPB4" w:char="F0E7"/>
      </w:r>
      <w:r>
        <w:rPr>
          <w:sz w:val="28"/>
          <w:szCs w:val="28"/>
        </w:rPr>
        <w:sym w:font="HQPB1" w:char="F02F"/>
      </w:r>
      <w:r>
        <w:rPr>
          <w:sz w:val="28"/>
          <w:szCs w:val="28"/>
        </w:rPr>
        <w:sym w:font="HQPB4" w:char="F0CE"/>
      </w:r>
      <w:r>
        <w:rPr>
          <w:sz w:val="28"/>
          <w:szCs w:val="28"/>
        </w:rPr>
        <w:sym w:font="HQPB1" w:char="F08E"/>
      </w:r>
      <w:r>
        <w:rPr>
          <w:sz w:val="28"/>
          <w:szCs w:val="28"/>
        </w:rPr>
        <w:sym w:font="HQPB4" w:char="F0F4"/>
      </w:r>
      <w:r>
        <w:rPr>
          <w:sz w:val="28"/>
          <w:szCs w:val="28"/>
        </w:rPr>
        <w:sym w:font="HQPB1" w:char="F0D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7"/>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5" w:char="F075"/>
      </w:r>
      <w:r>
        <w:rPr>
          <w:sz w:val="28"/>
          <w:szCs w:val="28"/>
        </w:rPr>
        <w:sym w:font="HQPB2" w:char="F05A"/>
      </w:r>
      <w:r>
        <w:rPr>
          <w:sz w:val="28"/>
          <w:szCs w:val="28"/>
        </w:rPr>
        <w:sym w:font="HQPB4" w:char="F0F7"/>
      </w:r>
      <w:r>
        <w:rPr>
          <w:sz w:val="28"/>
          <w:szCs w:val="28"/>
        </w:rPr>
        <w:sym w:font="HQPB1" w:char="F0E8"/>
      </w:r>
      <w:r>
        <w:rPr>
          <w:sz w:val="28"/>
          <w:szCs w:val="28"/>
        </w:rPr>
        <w:sym w:font="HQPB5" w:char="F073"/>
      </w:r>
      <w:r>
        <w:rPr>
          <w:sz w:val="28"/>
          <w:szCs w:val="28"/>
        </w:rPr>
        <w:sym w:font="HQPB1" w:char="F0DB"/>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1" w:char="F0F3"/>
      </w:r>
      <w:r>
        <w:rPr>
          <w:sz w:val="28"/>
          <w:szCs w:val="28"/>
        </w:rPr>
        <w:sym w:font="HQPB4" w:char="F0F6"/>
      </w:r>
      <w:r>
        <w:rPr>
          <w:sz w:val="28"/>
          <w:szCs w:val="28"/>
        </w:rPr>
        <w:sym w:font="HQPB1" w:char="F037"/>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B8"/>
      </w:r>
      <w:r>
        <w:rPr>
          <w:sz w:val="28"/>
          <w:szCs w:val="28"/>
        </w:rPr>
        <w:sym w:font="HQPB2" w:char="F078"/>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63"/>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1" w:char="F024"/>
      </w:r>
      <w:r>
        <w:rPr>
          <w:sz w:val="28"/>
          <w:szCs w:val="28"/>
        </w:rPr>
        <w:sym w:font="HQPB4" w:char="F077"/>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E"/>
      </w:r>
      <w:r>
        <w:rPr>
          <w:sz w:val="28"/>
          <w:szCs w:val="28"/>
        </w:rPr>
        <w:sym w:font="HQPB1" w:char="F036"/>
      </w:r>
      <w:r>
        <w:rPr>
          <w:sz w:val="28"/>
          <w:szCs w:val="28"/>
        </w:rPr>
        <w:sym w:font="HQPB5" w:char="F09F"/>
      </w:r>
      <w:r>
        <w:rPr>
          <w:sz w:val="28"/>
          <w:szCs w:val="28"/>
        </w:rPr>
        <w:sym w:font="HQPB2" w:char="F032"/>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D"/>
      </w:r>
      <w:r>
        <w:rPr>
          <w:sz w:val="28"/>
          <w:szCs w:val="28"/>
        </w:rPr>
        <w:sym w:font="HQPB2" w:char="F0C8"/>
      </w:r>
      <w:r>
        <w:rPr>
          <w:rFonts w:ascii="(normal text)" w:hAnsi="(normal text)"/>
          <w:rtl/>
        </w:rPr>
        <w:t xml:space="preserve">   </w:t>
      </w:r>
    </w:p>
    <w:p w:rsidR="00FE608F" w:rsidRPr="005E0358" w:rsidRDefault="00FE608F" w:rsidP="005E0358">
      <w:pPr>
        <w:bidi/>
        <w:ind w:left="6" w:right="1418" w:hanging="11"/>
        <w:jc w:val="both"/>
        <w:rPr>
          <w:rFonts w:ascii="(normal text)" w:hAnsi="(normal text)"/>
          <w:lang w:val="id-ID"/>
        </w:rPr>
      </w:pPr>
    </w:p>
    <w:p w:rsidR="00FE608F" w:rsidRDefault="005E0358" w:rsidP="005E0358">
      <w:pPr>
        <w:ind w:left="1418" w:hanging="11"/>
        <w:jc w:val="both"/>
        <w:rPr>
          <w:rFonts w:ascii="(normal text)" w:hAnsi="(normal text)"/>
          <w:lang w:val="id-ID"/>
        </w:rPr>
      </w:pPr>
      <w:r>
        <w:rPr>
          <w:rFonts w:ascii="(normal text)" w:hAnsi="(normal text)"/>
          <w:lang w:val="id-ID"/>
        </w:rPr>
        <w:t xml:space="preserve">Terjemahnya : </w:t>
      </w:r>
      <w:r w:rsidR="00FE608F" w:rsidRPr="00FE608F">
        <w:rPr>
          <w:rFonts w:ascii="(normal text)" w:hAnsi="(normal text)"/>
          <w:lang w:val="id-ID"/>
        </w:rPr>
        <w:t>K</w:t>
      </w:r>
      <w:r w:rsidR="00FE608F" w:rsidRPr="005E0358">
        <w:rPr>
          <w:rFonts w:ascii="(normal text)" w:hAnsi="(normal text)"/>
          <w:lang w:val="id-ID"/>
        </w:rPr>
        <w:t>aum laki-laki itu adalah pemimpin bagi kaum wanita, oleh karena Allah telah melebihkan sebahagian mereka (laki-laki) atas sebahagian yang lain (wanita), dan karena mereka (laki-laki) telah menafkahkan sebagian dari harta mereka</w:t>
      </w:r>
      <w:r w:rsidR="00FE608F" w:rsidRPr="00FE608F">
        <w:rPr>
          <w:rFonts w:ascii="(normal text)" w:hAnsi="(normal text)"/>
          <w:lang w:val="id-ID"/>
        </w:rPr>
        <w:t>.</w:t>
      </w:r>
      <w:r>
        <w:rPr>
          <w:rFonts w:ascii="(normal text)" w:hAnsi="(normal text)"/>
          <w:lang w:val="id-ID"/>
        </w:rPr>
        <w:t xml:space="preserve"> </w:t>
      </w:r>
      <w:r w:rsidRPr="005E0358">
        <w:rPr>
          <w:rFonts w:ascii="(normal text)" w:hAnsi="(normal text)"/>
          <w:lang w:val="id-ID"/>
        </w:rPr>
        <w:t xml:space="preserve">Sebab </w:t>
      </w:r>
      <w:r w:rsidR="00FE608F" w:rsidRPr="005E0358">
        <w:rPr>
          <w:rFonts w:ascii="(normal text)" w:hAnsi="(normal text)"/>
          <w:lang w:val="id-ID"/>
        </w:rPr>
        <w:t>itu</w:t>
      </w:r>
      <w:r>
        <w:rPr>
          <w:rFonts w:ascii="(normal text)" w:hAnsi="(normal text)"/>
          <w:lang w:val="id-ID"/>
        </w:rPr>
        <w:t>,</w:t>
      </w:r>
      <w:r w:rsidR="00FE608F" w:rsidRPr="005E0358">
        <w:rPr>
          <w:rFonts w:ascii="(normal text)" w:hAnsi="(normal text)"/>
          <w:lang w:val="id-ID"/>
        </w:rPr>
        <w:t xml:space="preserve"> </w:t>
      </w:r>
      <w:r w:rsidRPr="005E0358">
        <w:rPr>
          <w:rFonts w:ascii="(normal text)" w:hAnsi="(normal text)"/>
          <w:lang w:val="id-ID"/>
        </w:rPr>
        <w:t xml:space="preserve">maka </w:t>
      </w:r>
      <w:r w:rsidR="00FE608F" w:rsidRPr="005E0358">
        <w:rPr>
          <w:rFonts w:ascii="(normal text)" w:hAnsi="(normal text)"/>
          <w:lang w:val="id-ID"/>
        </w:rPr>
        <w:t>wanita yang saleh, ialah yang taat kepada Allah lagi memelihara diri</w:t>
      </w:r>
      <w:r w:rsidR="00FE608F" w:rsidRPr="00FE608F">
        <w:rPr>
          <w:rFonts w:ascii="(normal text)" w:hAnsi="(normal text)"/>
          <w:lang w:val="id-ID"/>
        </w:rPr>
        <w:t>.</w:t>
      </w:r>
      <w:r>
        <w:rPr>
          <w:rFonts w:ascii="(normal text)" w:hAnsi="(normal text)"/>
          <w:lang w:val="id-ID"/>
        </w:rPr>
        <w:t xml:space="preserve"> </w:t>
      </w:r>
      <w:r w:rsidRPr="005E0358">
        <w:rPr>
          <w:rFonts w:ascii="(normal text)" w:hAnsi="(normal text)"/>
          <w:lang w:val="id-ID"/>
        </w:rPr>
        <w:t xml:space="preserve">Ketika </w:t>
      </w:r>
      <w:r w:rsidR="00FE608F" w:rsidRPr="005E0358">
        <w:rPr>
          <w:rFonts w:ascii="(normal text)" w:hAnsi="(normal text)"/>
          <w:lang w:val="id-ID"/>
        </w:rPr>
        <w:t>suaminya tidak ada, oleh karena Allah telah memelihara (mereka). wanita-wanita yang kamu khawatirkan nusyuznya, Maka nasehatilah mereka dan pisahkanlah mereka di tempat ti</w:t>
      </w:r>
      <w:r>
        <w:rPr>
          <w:rFonts w:ascii="(normal text)" w:hAnsi="(normal text)"/>
          <w:lang w:val="id-ID"/>
        </w:rPr>
        <w:t>dur mereka, dan pukullah mereka</w:t>
      </w:r>
      <w:r w:rsidR="00FE608F" w:rsidRPr="005E0358">
        <w:rPr>
          <w:rFonts w:ascii="(normal text)" w:hAnsi="(normal text)"/>
          <w:lang w:val="id-ID"/>
        </w:rPr>
        <w:t xml:space="preserve"> kemudian jika mereka mentaatimu, </w:t>
      </w:r>
      <w:r w:rsidRPr="005E0358">
        <w:rPr>
          <w:rFonts w:ascii="(normal text)" w:hAnsi="(normal text)"/>
          <w:lang w:val="id-ID"/>
        </w:rPr>
        <w:t xml:space="preserve">maka </w:t>
      </w:r>
      <w:r w:rsidR="00FE608F" w:rsidRPr="005E0358">
        <w:rPr>
          <w:rFonts w:ascii="(normal text)" w:hAnsi="(normal text)"/>
          <w:lang w:val="id-ID"/>
        </w:rPr>
        <w:t xml:space="preserve">janganlah kamu mencari-cari jalan untuk menyusahkannya. Sesungguhnya Allah Maha </w:t>
      </w:r>
      <w:r w:rsidRPr="005E0358">
        <w:rPr>
          <w:rFonts w:ascii="(normal text)" w:hAnsi="(normal text)"/>
          <w:lang w:val="id-ID"/>
        </w:rPr>
        <w:t xml:space="preserve">tinggi </w:t>
      </w:r>
      <w:r w:rsidR="00FE608F" w:rsidRPr="005E0358">
        <w:rPr>
          <w:rFonts w:ascii="(normal text)" w:hAnsi="(normal text)"/>
          <w:lang w:val="id-ID"/>
        </w:rPr>
        <w:t xml:space="preserve">lagi </w:t>
      </w:r>
      <w:r w:rsidRPr="005E0358">
        <w:rPr>
          <w:rFonts w:ascii="(normal text)" w:hAnsi="(normal text)"/>
          <w:lang w:val="id-ID"/>
        </w:rPr>
        <w:t xml:space="preserve">maha </w:t>
      </w:r>
      <w:r w:rsidR="00FE608F" w:rsidRPr="005E0358">
        <w:rPr>
          <w:rFonts w:ascii="(normal text)" w:hAnsi="(normal text)"/>
          <w:lang w:val="id-ID"/>
        </w:rPr>
        <w:t>besar.</w:t>
      </w:r>
      <w:r w:rsidR="007A5CB8">
        <w:rPr>
          <w:rStyle w:val="FootnoteReference"/>
          <w:rFonts w:ascii="(normal text)" w:hAnsi="(normal text)"/>
        </w:rPr>
        <w:footnoteReference w:id="12"/>
      </w:r>
    </w:p>
    <w:p w:rsidR="005E0358" w:rsidRPr="005E0358" w:rsidRDefault="005E0358" w:rsidP="005E0358">
      <w:pPr>
        <w:ind w:left="1418" w:hanging="11"/>
        <w:jc w:val="both"/>
        <w:rPr>
          <w:rFonts w:ascii="(normal text)" w:hAnsi="(normal text)"/>
          <w:lang w:val="id-ID"/>
        </w:rPr>
      </w:pPr>
    </w:p>
    <w:p w:rsidR="007F4BDA" w:rsidRPr="00543E2D" w:rsidRDefault="007F4BDA" w:rsidP="004A0899">
      <w:pPr>
        <w:spacing w:line="480" w:lineRule="auto"/>
        <w:ind w:left="720" w:firstLine="720"/>
        <w:jc w:val="lowKashida"/>
      </w:pPr>
      <w:r w:rsidRPr="005E0358">
        <w:rPr>
          <w:lang w:val="id-ID"/>
        </w:rPr>
        <w:t xml:space="preserve">Ayat diatas sering kali dikutip dan digunakan sebagai landasan tentang </w:t>
      </w:r>
      <w:r w:rsidRPr="005E0358">
        <w:rPr>
          <w:rFonts w:ascii="Times New Arabic" w:hAnsi="Times New Arabic"/>
          <w:i/>
          <w:iCs/>
          <w:lang w:val="id-ID"/>
        </w:rPr>
        <w:t>nusyuz</w:t>
      </w:r>
      <w:r w:rsidRPr="005E0358">
        <w:rPr>
          <w:lang w:val="id-ID"/>
        </w:rPr>
        <w:t xml:space="preserve">nya isteri terhadap suami, meskipun secara tersurat tidak dijelaskan bagaimana awal mula terjadinya </w:t>
      </w:r>
      <w:r w:rsidRPr="005E0358">
        <w:rPr>
          <w:rFonts w:ascii="Times New Arabic" w:hAnsi="Times New Arabic"/>
          <w:i/>
          <w:iCs/>
          <w:lang w:val="id-ID"/>
        </w:rPr>
        <w:t>nusyuz</w:t>
      </w:r>
      <w:r w:rsidRPr="005E0358">
        <w:rPr>
          <w:lang w:val="id-ID"/>
        </w:rPr>
        <w:t xml:space="preserve"> isteri tersebut melainkan hanya sebatas solusi atau proses penyelesaiannya saja yang ditawarkan. </w:t>
      </w:r>
      <w:r w:rsidRPr="00543E2D">
        <w:t xml:space="preserve">Atau dapat juga </w:t>
      </w:r>
      <w:r w:rsidRPr="00543E2D">
        <w:lastRenderedPageBreak/>
        <w:t>ditarik beberapa pemahaman mengenai kandungan hukum yang terdapat dalam Ayat tersebut yaitu:</w:t>
      </w:r>
    </w:p>
    <w:p w:rsidR="007F4BDA" w:rsidRPr="00543E2D" w:rsidRDefault="007F4BDA" w:rsidP="004A0899">
      <w:pPr>
        <w:numPr>
          <w:ilvl w:val="0"/>
          <w:numId w:val="2"/>
        </w:numPr>
        <w:tabs>
          <w:tab w:val="clear" w:pos="720"/>
        </w:tabs>
        <w:spacing w:line="480" w:lineRule="auto"/>
        <w:ind w:left="1080"/>
        <w:jc w:val="lowKashida"/>
      </w:pPr>
      <w:r w:rsidRPr="00543E2D">
        <w:t>Kepemimpinan rumah tangga</w:t>
      </w:r>
    </w:p>
    <w:p w:rsidR="007F4BDA" w:rsidRPr="00543E2D" w:rsidRDefault="007F4BDA" w:rsidP="004A0899">
      <w:pPr>
        <w:numPr>
          <w:ilvl w:val="0"/>
          <w:numId w:val="2"/>
        </w:numPr>
        <w:tabs>
          <w:tab w:val="clear" w:pos="720"/>
        </w:tabs>
        <w:spacing w:line="480" w:lineRule="auto"/>
        <w:ind w:left="1080"/>
        <w:jc w:val="lowKashida"/>
      </w:pPr>
      <w:r w:rsidRPr="00543E2D">
        <w:t>Hak dan kewajiban suami-isteri</w:t>
      </w:r>
    </w:p>
    <w:p w:rsidR="007F4BDA" w:rsidRPr="00543E2D" w:rsidRDefault="007F4BDA" w:rsidP="004A0899">
      <w:pPr>
        <w:numPr>
          <w:ilvl w:val="0"/>
          <w:numId w:val="2"/>
        </w:numPr>
        <w:tabs>
          <w:tab w:val="clear" w:pos="720"/>
        </w:tabs>
        <w:spacing w:line="480" w:lineRule="auto"/>
        <w:ind w:left="1080"/>
        <w:jc w:val="lowKashida"/>
      </w:pPr>
      <w:r w:rsidRPr="00543E2D">
        <w:t xml:space="preserve">Solusi tentang </w:t>
      </w:r>
      <w:r w:rsidRPr="00543E2D">
        <w:rPr>
          <w:rFonts w:ascii="Times New Arabic" w:hAnsi="Times New Arabic"/>
          <w:i/>
          <w:iCs/>
        </w:rPr>
        <w:t>nusyuz</w:t>
      </w:r>
      <w:r w:rsidRPr="00543E2D">
        <w:t>yang dilakukan oleh isteri</w:t>
      </w:r>
    </w:p>
    <w:p w:rsidR="00FE608F" w:rsidRDefault="007F4BDA" w:rsidP="00092FAB">
      <w:pPr>
        <w:spacing w:line="480" w:lineRule="auto"/>
        <w:ind w:left="1080" w:firstLine="720"/>
        <w:jc w:val="lowKashida"/>
        <w:rPr>
          <w:lang w:val="id-ID"/>
        </w:rPr>
      </w:pPr>
      <w:r w:rsidRPr="00543E2D">
        <w:t xml:space="preserve">Terdapat Ayat lain juga yang biasa dikutip ketika membicarakan persoalan </w:t>
      </w:r>
      <w:r w:rsidRPr="00543E2D">
        <w:rPr>
          <w:rFonts w:ascii="Times New Arabic" w:hAnsi="Times New Arabic"/>
          <w:i/>
          <w:iCs/>
        </w:rPr>
        <w:t>nusyuz</w:t>
      </w:r>
      <w:r w:rsidR="005E0358">
        <w:rPr>
          <w:rFonts w:ascii="Times New Arabic" w:hAnsi="Times New Arabic"/>
          <w:i/>
          <w:iCs/>
          <w:lang w:val="id-ID"/>
        </w:rPr>
        <w:t xml:space="preserve"> </w:t>
      </w:r>
      <w:r w:rsidRPr="00543E2D">
        <w:t xml:space="preserve">yaitu: </w:t>
      </w:r>
    </w:p>
    <w:p w:rsidR="00092FAB" w:rsidRPr="005E0358" w:rsidRDefault="005E0358" w:rsidP="005E0358">
      <w:pPr>
        <w:bidi/>
        <w:ind w:right="1701"/>
        <w:jc w:val="both"/>
        <w:rPr>
          <w:rFonts w:ascii="(normal text)" w:hAnsi="(normal text)"/>
          <w:lang w:val="id-ID"/>
        </w:rPr>
      </w:pPr>
      <w:r>
        <w:rPr>
          <w:sz w:val="28"/>
          <w:szCs w:val="28"/>
        </w:rPr>
        <w:sym w:font="HQPB4" w:char="F0C8"/>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E"/>
      </w:r>
      <w:r>
        <w:rPr>
          <w:sz w:val="28"/>
          <w:szCs w:val="28"/>
        </w:rPr>
        <w:sym w:font="HQPB2" w:char="F06F"/>
      </w:r>
      <w:r>
        <w:rPr>
          <w:sz w:val="28"/>
          <w:szCs w:val="28"/>
        </w:rPr>
        <w:sym w:font="HQPB5" w:char="F072"/>
      </w:r>
      <w:r>
        <w:rPr>
          <w:sz w:val="28"/>
          <w:szCs w:val="28"/>
        </w:rPr>
        <w:sym w:font="HQPB1" w:char="F026"/>
      </w:r>
      <w:r>
        <w:rPr>
          <w:sz w:val="28"/>
          <w:szCs w:val="28"/>
        </w:rPr>
        <w:sym w:font="HQPB5" w:char="F07A"/>
      </w:r>
      <w:r>
        <w:rPr>
          <w:sz w:val="28"/>
          <w:szCs w:val="28"/>
        </w:rPr>
        <w:sym w:font="HQPB1" w:char="F090"/>
      </w:r>
      <w:r>
        <w:rPr>
          <w:sz w:val="28"/>
          <w:szCs w:val="28"/>
        </w:rPr>
        <w:sym w:font="HQPB4" w:char="F0F6"/>
      </w:r>
      <w:r>
        <w:rPr>
          <w:sz w:val="28"/>
          <w:szCs w:val="28"/>
        </w:rPr>
        <w:sym w:font="HQPB2" w:char="F044"/>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3"/>
      </w:r>
      <w:r>
        <w:rPr>
          <w:sz w:val="28"/>
          <w:szCs w:val="28"/>
        </w:rPr>
        <w:sym w:font="HQPB1" w:char="F0F9"/>
      </w:r>
      <w:r>
        <w:rPr>
          <w:sz w:val="28"/>
          <w:szCs w:val="28"/>
        </w:rPr>
        <w:sym w:font="HQPB1" w:char="F025"/>
      </w:r>
      <w:r>
        <w:rPr>
          <w:sz w:val="28"/>
          <w:szCs w:val="28"/>
        </w:rPr>
        <w:sym w:font="HQPB5" w:char="F073"/>
      </w:r>
      <w:r>
        <w:rPr>
          <w:sz w:val="28"/>
          <w:szCs w:val="28"/>
        </w:rPr>
        <w:sym w:font="HQPB1" w:char="F07B"/>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CE"/>
      </w:r>
      <w:r>
        <w:rPr>
          <w:sz w:val="28"/>
          <w:szCs w:val="28"/>
        </w:rPr>
        <w:sym w:font="HQPB2" w:char="F03D"/>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1" w:char="F023"/>
      </w:r>
      <w:r>
        <w:rPr>
          <w:sz w:val="28"/>
          <w:szCs w:val="28"/>
        </w:rPr>
        <w:sym w:font="HQPB4" w:char="F0B7"/>
      </w:r>
      <w:r>
        <w:rPr>
          <w:sz w:val="28"/>
          <w:szCs w:val="28"/>
        </w:rPr>
        <w:sym w:font="HQPB1" w:char="F097"/>
      </w:r>
      <w:r>
        <w:rPr>
          <w:sz w:val="28"/>
          <w:szCs w:val="28"/>
        </w:rPr>
        <w:sym w:font="HQPB2" w:char="F071"/>
      </w:r>
      <w:r>
        <w:rPr>
          <w:sz w:val="28"/>
          <w:szCs w:val="28"/>
        </w:rPr>
        <w:sym w:font="HQPB4" w:char="F0E0"/>
      </w:r>
      <w:r>
        <w:rPr>
          <w:sz w:val="28"/>
          <w:szCs w:val="28"/>
        </w:rPr>
        <w:sym w:font="HQPB1" w:char="F0B1"/>
      </w:r>
      <w:r>
        <w:rPr>
          <w:sz w:val="28"/>
          <w:szCs w:val="28"/>
        </w:rPr>
        <w:sym w:font="HQPB4" w:char="F0E7"/>
      </w:r>
      <w:r>
        <w:rPr>
          <w:sz w:val="28"/>
          <w:szCs w:val="28"/>
        </w:rPr>
        <w:sym w:font="HQPB2" w:char="F052"/>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5A"/>
      </w:r>
      <w:r>
        <w:rPr>
          <w:sz w:val="28"/>
          <w:szCs w:val="28"/>
        </w:rPr>
        <w:sym w:font="HQPB1" w:char="F0CA"/>
      </w:r>
      <w:r>
        <w:rPr>
          <w:sz w:val="28"/>
          <w:szCs w:val="28"/>
        </w:rPr>
        <w:sym w:font="HQPB1" w:char="F023"/>
      </w:r>
      <w:r>
        <w:rPr>
          <w:sz w:val="28"/>
          <w:szCs w:val="28"/>
        </w:rPr>
        <w:sym w:font="HQPB5" w:char="F07B"/>
      </w:r>
      <w:r>
        <w:rPr>
          <w:sz w:val="28"/>
          <w:szCs w:val="28"/>
        </w:rPr>
        <w:sym w:font="HQPB1" w:char="F08F"/>
      </w:r>
      <w:r>
        <w:rPr>
          <w:sz w:val="28"/>
          <w:szCs w:val="28"/>
        </w:rPr>
        <w:sym w:font="HQPB4" w:char="F0F4"/>
      </w:r>
      <w:r>
        <w:rPr>
          <w:sz w:val="28"/>
          <w:szCs w:val="28"/>
        </w:rPr>
        <w:sym w:font="HQPB1" w:char="F0E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9"/>
      </w:r>
      <w:r>
        <w:rPr>
          <w:sz w:val="28"/>
          <w:szCs w:val="28"/>
        </w:rPr>
        <w:sym w:font="HQPB1" w:char="F079"/>
      </w:r>
      <w:r>
        <w:rPr>
          <w:sz w:val="28"/>
          <w:szCs w:val="28"/>
        </w:rPr>
        <w:sym w:font="HQPB1" w:char="F024"/>
      </w:r>
      <w:r>
        <w:rPr>
          <w:sz w:val="28"/>
          <w:szCs w:val="28"/>
        </w:rPr>
        <w:sym w:font="HQPB5" w:char="F06F"/>
      </w:r>
      <w:r>
        <w:rPr>
          <w:sz w:val="28"/>
          <w:szCs w:val="28"/>
        </w:rPr>
        <w:sym w:font="HQPB2" w:char="F059"/>
      </w:r>
      <w:r>
        <w:rPr>
          <w:sz w:val="28"/>
          <w:szCs w:val="28"/>
        </w:rPr>
        <w:sym w:font="HQPB4" w:char="F0E3"/>
      </w:r>
      <w:r>
        <w:rPr>
          <w:sz w:val="28"/>
          <w:szCs w:val="28"/>
        </w:rPr>
        <w:sym w:font="HQPB1" w:char="F05F"/>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9"/>
      </w:r>
      <w:r>
        <w:rPr>
          <w:sz w:val="28"/>
          <w:szCs w:val="28"/>
        </w:rPr>
        <w:sym w:font="HQPB1" w:char="F073"/>
      </w:r>
      <w:r>
        <w:rPr>
          <w:sz w:val="28"/>
          <w:szCs w:val="28"/>
        </w:rPr>
        <w:sym w:font="HQPB4" w:char="F0CE"/>
      </w:r>
      <w:r>
        <w:rPr>
          <w:sz w:val="28"/>
          <w:szCs w:val="28"/>
        </w:rPr>
        <w:sym w:font="HQPB2" w:char="F03D"/>
      </w:r>
      <w:r>
        <w:rPr>
          <w:sz w:val="28"/>
          <w:szCs w:val="28"/>
        </w:rPr>
        <w:sym w:font="HQPB4" w:char="F0F3"/>
      </w:r>
      <w:r>
        <w:rPr>
          <w:sz w:val="28"/>
          <w:szCs w:val="28"/>
        </w:rPr>
        <w:sym w:font="HQPB1" w:char="F0C1"/>
      </w:r>
      <w:r>
        <w:rPr>
          <w:sz w:val="28"/>
          <w:szCs w:val="28"/>
        </w:rPr>
        <w:sym w:font="HQPB4" w:char="F0E3"/>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E6"/>
      </w:r>
      <w:r>
        <w:rPr>
          <w:sz w:val="28"/>
          <w:szCs w:val="28"/>
        </w:rPr>
        <w:sym w:font="HQPB2" w:char="F068"/>
      </w:r>
      <w:r>
        <w:rPr>
          <w:sz w:val="28"/>
          <w:szCs w:val="28"/>
        </w:rPr>
        <w:sym w:font="HQPB5" w:char="F075"/>
      </w:r>
      <w:r>
        <w:rPr>
          <w:sz w:val="28"/>
          <w:szCs w:val="28"/>
        </w:rPr>
        <w:sym w:font="HQPB2" w:char="F05A"/>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1" w:char="F024"/>
      </w:r>
      <w:r>
        <w:rPr>
          <w:sz w:val="28"/>
          <w:szCs w:val="28"/>
        </w:rPr>
        <w:sym w:font="HQPB4" w:char="F05B"/>
      </w:r>
      <w:r>
        <w:rPr>
          <w:sz w:val="28"/>
          <w:szCs w:val="28"/>
        </w:rPr>
        <w:sym w:font="HQPB1" w:char="F073"/>
      </w:r>
      <w:r>
        <w:rPr>
          <w:sz w:val="28"/>
          <w:szCs w:val="28"/>
        </w:rPr>
        <w:sym w:font="HQPB4" w:char="F0F9"/>
      </w:r>
      <w:r>
        <w:rPr>
          <w:sz w:val="28"/>
          <w:szCs w:val="28"/>
        </w:rPr>
        <w:sym w:font="HQPB2" w:char="F03D"/>
      </w:r>
      <w:r>
        <w:rPr>
          <w:sz w:val="28"/>
          <w:szCs w:val="28"/>
        </w:rPr>
        <w:sym w:font="HQPB4" w:char="F0DF"/>
      </w:r>
      <w:r>
        <w:rPr>
          <w:sz w:val="28"/>
          <w:szCs w:val="28"/>
        </w:rPr>
        <w:sym w:font="HQPB1" w:char="F0B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DF"/>
      </w:r>
      <w:r>
        <w:rPr>
          <w:sz w:val="28"/>
          <w:szCs w:val="28"/>
        </w:rPr>
        <w:sym w:font="HQPB1" w:char="F078"/>
      </w:r>
      <w:r>
        <w:rPr>
          <w:sz w:val="28"/>
          <w:szCs w:val="28"/>
        </w:rPr>
        <w:sym w:font="HQPB4" w:char="F0F9"/>
      </w:r>
      <w:r>
        <w:rPr>
          <w:sz w:val="28"/>
          <w:szCs w:val="28"/>
        </w:rPr>
        <w:sym w:font="HQPB2" w:char="F03D"/>
      </w:r>
      <w:r>
        <w:rPr>
          <w:sz w:val="28"/>
          <w:szCs w:val="28"/>
        </w:rPr>
        <w:sym w:font="HQPB4" w:char="F090"/>
      </w:r>
      <w:r>
        <w:rPr>
          <w:sz w:val="28"/>
          <w:szCs w:val="28"/>
        </w:rPr>
        <w:sym w:font="HQPB1" w:char="F0C1"/>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7"/>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CF"/>
      </w:r>
      <w:r>
        <w:rPr>
          <w:sz w:val="28"/>
          <w:szCs w:val="28"/>
        </w:rPr>
        <w:sym w:font="HQPB1" w:char="F04E"/>
      </w:r>
      <w:r>
        <w:rPr>
          <w:sz w:val="28"/>
          <w:szCs w:val="28"/>
        </w:rPr>
        <w:sym w:font="HQPB5" w:char="F075"/>
      </w:r>
      <w:r>
        <w:rPr>
          <w:sz w:val="28"/>
          <w:szCs w:val="28"/>
        </w:rPr>
        <w:sym w:font="HQPB1" w:char="F08E"/>
      </w:r>
      <w:r>
        <w:rPr>
          <w:sz w:val="28"/>
          <w:szCs w:val="28"/>
        </w:rPr>
        <w:sym w:font="HQPB4" w:char="F0C5"/>
      </w:r>
      <w:r>
        <w:rPr>
          <w:sz w:val="28"/>
          <w:szCs w:val="28"/>
        </w:rPr>
        <w:sym w:font="HQPB1" w:char="F0D8"/>
      </w:r>
      <w:r>
        <w:rPr>
          <w:sz w:val="28"/>
          <w:szCs w:val="28"/>
        </w:rPr>
        <w:sym w:font="HQPB4" w:char="F0F4"/>
      </w:r>
      <w:r>
        <w:rPr>
          <w:sz w:val="28"/>
          <w:szCs w:val="28"/>
        </w:rPr>
        <w:sym w:font="HQPB1" w:char="F06D"/>
      </w:r>
      <w:r>
        <w:rPr>
          <w:sz w:val="28"/>
          <w:szCs w:val="28"/>
        </w:rPr>
        <w:sym w:font="HQPB4" w:char="F0E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A"/>
      </w:r>
      <w:r>
        <w:rPr>
          <w:sz w:val="28"/>
          <w:szCs w:val="28"/>
        </w:rPr>
        <w:sym w:font="HQPB3" w:char="F05B"/>
      </w:r>
      <w:r>
        <w:rPr>
          <w:sz w:val="28"/>
          <w:szCs w:val="28"/>
        </w:rPr>
        <w:sym w:font="HQPB4" w:char="F0E0"/>
      </w:r>
      <w:r>
        <w:rPr>
          <w:sz w:val="28"/>
          <w:szCs w:val="28"/>
        </w:rPr>
        <w:sym w:font="HQPB1" w:char="F0FF"/>
      </w:r>
      <w:r>
        <w:rPr>
          <w:sz w:val="28"/>
          <w:szCs w:val="28"/>
        </w:rPr>
        <w:sym w:font="HQPB2" w:char="F052"/>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A3"/>
      </w:r>
      <w:r>
        <w:rPr>
          <w:sz w:val="28"/>
          <w:szCs w:val="28"/>
        </w:rPr>
        <w:sym w:font="HQPB1" w:char="F078"/>
      </w:r>
      <w:r>
        <w:rPr>
          <w:sz w:val="28"/>
          <w:szCs w:val="28"/>
        </w:rPr>
        <w:sym w:font="HQPB4" w:char="F092"/>
      </w:r>
      <w:r>
        <w:rPr>
          <w:sz w:val="28"/>
          <w:szCs w:val="28"/>
        </w:rPr>
        <w:sym w:font="HQPB1" w:char="F0B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4" w:char="F0C5"/>
      </w:r>
      <w:r>
        <w:rPr>
          <w:sz w:val="28"/>
          <w:szCs w:val="28"/>
        </w:rPr>
        <w:sym w:font="HQPB1" w:char="F0A1"/>
      </w:r>
      <w:r>
        <w:rPr>
          <w:sz w:val="28"/>
          <w:szCs w:val="28"/>
        </w:rPr>
        <w:sym w:font="HQPB4" w:char="F0F3"/>
      </w:r>
      <w:r>
        <w:rPr>
          <w:sz w:val="28"/>
          <w:szCs w:val="28"/>
        </w:rPr>
        <w:sym w:font="HQPB1" w:char="F073"/>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D"/>
      </w:r>
      <w:r>
        <w:rPr>
          <w:sz w:val="28"/>
          <w:szCs w:val="28"/>
        </w:rPr>
        <w:sym w:font="HQPB1" w:char="F047"/>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0"/>
      </w:r>
      <w:r>
        <w:rPr>
          <w:sz w:val="28"/>
          <w:szCs w:val="28"/>
        </w:rPr>
        <w:sym w:font="HQPB2" w:char="F063"/>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63"/>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E"/>
      </w:r>
      <w:r>
        <w:rPr>
          <w:sz w:val="28"/>
          <w:szCs w:val="28"/>
        </w:rPr>
        <w:sym w:font="HQPB1" w:char="F036"/>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D1"/>
      </w:r>
      <w:r>
        <w:rPr>
          <w:sz w:val="28"/>
          <w:szCs w:val="28"/>
        </w:rPr>
        <w:sym w:font="HQPB2" w:char="F0C8"/>
      </w:r>
      <w:r>
        <w:rPr>
          <w:rFonts w:ascii="(normal text)" w:hAnsi="(normal text)"/>
          <w:rtl/>
        </w:rPr>
        <w:t xml:space="preserve">   </w:t>
      </w:r>
    </w:p>
    <w:p w:rsidR="00FE608F" w:rsidRDefault="00FE608F" w:rsidP="00092FAB">
      <w:pPr>
        <w:bidi/>
        <w:ind w:left="6" w:right="1701"/>
        <w:jc w:val="both"/>
        <w:rPr>
          <w:rFonts w:ascii="(normal text)" w:hAnsi="(normal text)"/>
          <w:rtl/>
        </w:rPr>
      </w:pPr>
    </w:p>
    <w:p w:rsidR="00FE608F" w:rsidRDefault="005E0358" w:rsidP="005E0358">
      <w:pPr>
        <w:ind w:left="1701"/>
        <w:jc w:val="both"/>
        <w:rPr>
          <w:rFonts w:ascii="(normal text)" w:hAnsi="(normal text)"/>
          <w:lang w:val="id-ID"/>
        </w:rPr>
      </w:pPr>
      <w:r>
        <w:rPr>
          <w:rFonts w:ascii="(normal text)" w:hAnsi="(normal text)"/>
          <w:lang w:val="id-ID"/>
        </w:rPr>
        <w:t xml:space="preserve">Terjemahnya : </w:t>
      </w:r>
      <w:r w:rsidR="00092FAB" w:rsidRPr="00092FAB">
        <w:rPr>
          <w:rFonts w:ascii="(normal text)" w:hAnsi="(normal text)"/>
          <w:lang w:val="id-ID"/>
        </w:rPr>
        <w:t>D</w:t>
      </w:r>
      <w:r w:rsidR="00FE608F" w:rsidRPr="00092FAB">
        <w:rPr>
          <w:rFonts w:ascii="(normal text)" w:hAnsi="(normal text)"/>
        </w:rPr>
        <w:t xml:space="preserve">an jika seorang </w:t>
      </w:r>
      <w:r w:rsidR="00092FAB" w:rsidRPr="00092FAB">
        <w:rPr>
          <w:rFonts w:ascii="(normal text)" w:hAnsi="(normal text)"/>
        </w:rPr>
        <w:t>wanita khawatir akan nusyuz</w:t>
      </w:r>
      <w:r w:rsidR="00FE608F" w:rsidRPr="00092FAB">
        <w:rPr>
          <w:rFonts w:ascii="(normal text)" w:hAnsi="(normal text)"/>
        </w:rPr>
        <w:t xml:space="preserve"> atau sikap tidak acuh dari suaminya, Maka tidak mengapa bagi keduanya Mengadakan perdamaian yang sebena</w:t>
      </w:r>
      <w:r w:rsidR="00092FAB" w:rsidRPr="00092FAB">
        <w:rPr>
          <w:rFonts w:ascii="(normal text)" w:hAnsi="(normal text)"/>
        </w:rPr>
        <w:t>r-benarnya</w:t>
      </w:r>
      <w:r w:rsidR="00FE608F" w:rsidRPr="00092FAB">
        <w:rPr>
          <w:rFonts w:ascii="(normal text)" w:hAnsi="(normal text)"/>
        </w:rPr>
        <w:t xml:space="preserve">, dan perdamaian itu lebih baik (bagi mereka) walaupun manusia </w:t>
      </w:r>
      <w:r w:rsidR="00092FAB" w:rsidRPr="00092FAB">
        <w:rPr>
          <w:rFonts w:ascii="(normal text)" w:hAnsi="(normal text)"/>
        </w:rPr>
        <w:t>itu menurut tabiatnya kikir</w:t>
      </w:r>
      <w:r w:rsidR="00FE608F" w:rsidRPr="00092FAB">
        <w:rPr>
          <w:rFonts w:ascii="(normal text)" w:hAnsi="(normal text)"/>
        </w:rPr>
        <w:t>. dan jika kamu bergaul dengan isterimu secara baik dan memelihara dirimu (dari nusyuz dan sikap tak acuh), Maka Sesungguhnya Allah adalah Maha mengetahui apa yang kamu kerjakan.</w:t>
      </w:r>
      <w:r w:rsidR="007A5CB8">
        <w:rPr>
          <w:rStyle w:val="FootnoteReference"/>
          <w:rFonts w:ascii="(normal text)" w:hAnsi="(normal text)"/>
        </w:rPr>
        <w:footnoteReference w:id="13"/>
      </w:r>
    </w:p>
    <w:p w:rsidR="005E0358" w:rsidRPr="005E0358" w:rsidRDefault="005E0358" w:rsidP="005E0358">
      <w:pPr>
        <w:ind w:left="1701"/>
        <w:jc w:val="both"/>
        <w:rPr>
          <w:rFonts w:ascii="(normal text)" w:hAnsi="(normal text)"/>
          <w:lang w:val="id-ID"/>
        </w:rPr>
      </w:pPr>
    </w:p>
    <w:p w:rsidR="005613DD" w:rsidRDefault="007F4BDA" w:rsidP="005613DD">
      <w:pPr>
        <w:spacing w:line="480" w:lineRule="auto"/>
        <w:ind w:left="1080" w:firstLine="720"/>
        <w:jc w:val="lowKashida"/>
      </w:pPr>
      <w:r w:rsidRPr="00543E2D">
        <w:t xml:space="preserve">Ayat di atas sering dikutip sebagai dasar tentang </w:t>
      </w:r>
      <w:r w:rsidRPr="00543E2D">
        <w:rPr>
          <w:rFonts w:ascii="Times New Arabic" w:hAnsi="Times New Arabic"/>
          <w:i/>
          <w:iCs/>
        </w:rPr>
        <w:t>nusyuz</w:t>
      </w:r>
      <w:r w:rsidRPr="00543E2D">
        <w:t xml:space="preserve">nya suami, walaupun pada realitanya maupun dalam literatur-literatur kajian fiqh persoalan tentang </w:t>
      </w:r>
      <w:r w:rsidRPr="00543E2D">
        <w:rPr>
          <w:rFonts w:ascii="Times New Arabic" w:hAnsi="Times New Arabic"/>
          <w:i/>
          <w:iCs/>
        </w:rPr>
        <w:t>nusyuz</w:t>
      </w:r>
      <w:r w:rsidRPr="00543E2D">
        <w:t>nya suami kurang mendapat perhatian dan jarang menjadi obyek kajian secara khusus.</w:t>
      </w:r>
    </w:p>
    <w:p w:rsidR="007F4BDA" w:rsidRPr="006E1506" w:rsidRDefault="007F4BDA" w:rsidP="006E1506">
      <w:pPr>
        <w:spacing w:line="480" w:lineRule="auto"/>
        <w:ind w:left="1080" w:firstLine="720"/>
        <w:jc w:val="lowKashida"/>
        <w:rPr>
          <w:lang w:val="id-ID"/>
        </w:rPr>
      </w:pPr>
      <w:r w:rsidRPr="00543E2D">
        <w:lastRenderedPageBreak/>
        <w:t>Kompilasi Hukum Islam (KHI) aturan mengenai p</w:t>
      </w:r>
      <w:r w:rsidR="00E42E68">
        <w:t>e</w:t>
      </w:r>
      <w:r w:rsidRPr="00543E2D">
        <w:t xml:space="preserve">rsoalan </w:t>
      </w:r>
      <w:r w:rsidRPr="00543E2D">
        <w:rPr>
          <w:rFonts w:ascii="Times New Arabic" w:hAnsi="Times New Arabic"/>
          <w:i/>
          <w:iCs/>
        </w:rPr>
        <w:t>nusyuz</w:t>
      </w:r>
      <w:r w:rsidRPr="00543E2D">
        <w:t xml:space="preserve"> dipersempit hanya pada </w:t>
      </w:r>
      <w:r w:rsidRPr="00543E2D">
        <w:rPr>
          <w:rFonts w:ascii="Times New Arabic" w:hAnsi="Times New Arabic"/>
          <w:i/>
          <w:iCs/>
        </w:rPr>
        <w:t>nusyuz</w:t>
      </w:r>
      <w:r w:rsidRPr="00543E2D">
        <w:t xml:space="preserve">nya isteri saja serta akibat hukum yang ditimbulkannya. Mengawali pembahasannya dalam persoalan </w:t>
      </w:r>
      <w:r w:rsidRPr="00543E2D">
        <w:rPr>
          <w:rFonts w:ascii="Times New Arabic" w:hAnsi="Times New Arabic"/>
          <w:i/>
          <w:iCs/>
        </w:rPr>
        <w:t xml:space="preserve">nusyuz </w:t>
      </w:r>
      <w:r w:rsidRPr="00543E2D">
        <w:t xml:space="preserve">KHI berangkat dari ketentuan awal tentang kewajiban bagi isteri, yaitu bahwa dalam kehidupan rumah tangga kewajiban utama bagi seorang isteri ialah berbakti lakhir dan batin kepada suami dalam batas-batas yang dibenarkan oleh hukum Islam. Dan isteri dianggap </w:t>
      </w:r>
      <w:r w:rsidRPr="00543E2D">
        <w:rPr>
          <w:rFonts w:ascii="Times New Arabic" w:hAnsi="Times New Arabic"/>
          <w:i/>
          <w:iCs/>
        </w:rPr>
        <w:t>nusyuz</w:t>
      </w:r>
      <w:r w:rsidRPr="00543E2D">
        <w:t xml:space="preserve"> jika ia tidak mau melaksanakan kewajiban-kewajiban sebagaimana dimaksud tersebut. Walaupun dalam masalah menentukan ada atau tidak adanya </w:t>
      </w:r>
      <w:r w:rsidRPr="00543E2D">
        <w:rPr>
          <w:rFonts w:ascii="Times New Arabic" w:hAnsi="Times New Arabic"/>
          <w:i/>
          <w:iCs/>
        </w:rPr>
        <w:t>nusyuz</w:t>
      </w:r>
      <w:r w:rsidRPr="00543E2D">
        <w:t xml:space="preserve"> isteri tersebut menurut KHI harus di dasarkan atas bukti yang sah.</w:t>
      </w:r>
      <w:r w:rsidRPr="00543E2D">
        <w:rPr>
          <w:rStyle w:val="FootnoteReference"/>
        </w:rPr>
        <w:footnoteReference w:id="14"/>
      </w:r>
    </w:p>
    <w:p w:rsidR="007F4BDA" w:rsidRPr="00543E2D" w:rsidRDefault="00AE5A60" w:rsidP="004A0899">
      <w:pPr>
        <w:pStyle w:val="Heading1"/>
        <w:numPr>
          <w:ilvl w:val="0"/>
          <w:numId w:val="8"/>
        </w:numPr>
        <w:spacing w:line="480" w:lineRule="auto"/>
        <w:ind w:left="720"/>
        <w:jc w:val="lowKashida"/>
        <w:rPr>
          <w:rFonts w:ascii="Times New Arabic" w:hAnsi="Times New Arabic"/>
          <w:b/>
          <w:u w:val="none"/>
        </w:rPr>
      </w:pPr>
      <w:r>
        <w:rPr>
          <w:b/>
          <w:u w:val="none"/>
        </w:rPr>
        <w:t>Bentuk-B</w:t>
      </w:r>
      <w:r w:rsidR="007F4BDA" w:rsidRPr="00543E2D">
        <w:rPr>
          <w:b/>
          <w:u w:val="none"/>
        </w:rPr>
        <w:t xml:space="preserve">entuk Perbuatan </w:t>
      </w:r>
      <w:r w:rsidR="007F4BDA" w:rsidRPr="00543E2D">
        <w:rPr>
          <w:rFonts w:ascii="Times New Arabic" w:hAnsi="Times New Arabic"/>
          <w:b/>
          <w:i/>
          <w:iCs/>
          <w:u w:val="none"/>
        </w:rPr>
        <w:t>Nusyuz</w:t>
      </w:r>
    </w:p>
    <w:p w:rsidR="007F4BDA" w:rsidRPr="00543E2D" w:rsidRDefault="007F4BDA" w:rsidP="004A0899">
      <w:pPr>
        <w:spacing w:line="480" w:lineRule="auto"/>
        <w:ind w:left="720" w:firstLine="720"/>
        <w:jc w:val="lowKashida"/>
        <w:rPr>
          <w:lang w:val="fr-FR"/>
        </w:rPr>
      </w:pPr>
      <w:r w:rsidRPr="00543E2D">
        <w:rPr>
          <w:lang w:val="fr-FR"/>
        </w:rPr>
        <w:t xml:space="preserve">Bentuk-bentuk perbuatan </w:t>
      </w:r>
      <w:r w:rsidRPr="00543E2D">
        <w:rPr>
          <w:rFonts w:ascii="Times New Arabic" w:hAnsi="Times New Arabic"/>
          <w:i/>
          <w:iCs/>
          <w:lang w:val="fr-FR"/>
        </w:rPr>
        <w:t>nusyuz</w:t>
      </w:r>
      <w:r w:rsidRPr="00543E2D">
        <w:rPr>
          <w:lang w:val="fr-FR"/>
        </w:rPr>
        <w:t xml:space="preserve"> sebagaimana dijelaskan dalam </w:t>
      </w:r>
      <w:r w:rsidRPr="00543E2D">
        <w:rPr>
          <w:i/>
          <w:iCs/>
          <w:lang w:val="fr-FR"/>
        </w:rPr>
        <w:t xml:space="preserve">Ensiklopedi Hukum Islam </w:t>
      </w:r>
      <w:r w:rsidRPr="00543E2D">
        <w:rPr>
          <w:lang w:val="fr-FR"/>
        </w:rPr>
        <w:t xml:space="preserve">dapat berupa perkataan maupun perbuatan. Bentuk perbuatan </w:t>
      </w:r>
      <w:r w:rsidRPr="00543E2D">
        <w:rPr>
          <w:rFonts w:ascii="Times New Arabic" w:hAnsi="Times New Arabic"/>
          <w:i/>
          <w:iCs/>
          <w:lang w:val="fr-FR"/>
        </w:rPr>
        <w:t>nusyuz</w:t>
      </w:r>
      <w:r w:rsidRPr="00543E2D">
        <w:rPr>
          <w:i/>
          <w:iCs/>
          <w:lang w:val="fr-FR"/>
        </w:rPr>
        <w:t>,</w:t>
      </w:r>
      <w:r w:rsidRPr="00543E2D">
        <w:rPr>
          <w:lang w:val="fr-FR"/>
        </w:rPr>
        <w:t xml:space="preserve"> yang berupa perkataan dari pihak suami atau isteri adalah memaki-maki dan menghina pasanganya, sedangkan </w:t>
      </w:r>
      <w:r w:rsidRPr="00543E2D">
        <w:rPr>
          <w:rFonts w:ascii="Times New Arabic" w:hAnsi="Times New Arabic"/>
          <w:i/>
          <w:iCs/>
          <w:lang w:val="fr-FR"/>
        </w:rPr>
        <w:t>nusyuz</w:t>
      </w:r>
      <w:r w:rsidRPr="00543E2D">
        <w:rPr>
          <w:lang w:val="fr-FR"/>
        </w:rPr>
        <w:t xml:space="preserve"> yang berupa perbuatan adalah mengabaikan hak pasanga</w:t>
      </w:r>
      <w:r w:rsidR="00D61D3E">
        <w:rPr>
          <w:lang w:val="fr-FR"/>
        </w:rPr>
        <w:t>n</w:t>
      </w:r>
      <w:r w:rsidRPr="00543E2D">
        <w:rPr>
          <w:lang w:val="fr-FR"/>
        </w:rPr>
        <w:t>nya atas dirinya, berfoya-foya dengan orang lain, atau menganggap hina atau rendah terhadap pasanga</w:t>
      </w:r>
      <w:r w:rsidR="00D61D3E">
        <w:rPr>
          <w:lang w:val="fr-FR"/>
        </w:rPr>
        <w:t>n</w:t>
      </w:r>
      <w:r w:rsidRPr="00543E2D">
        <w:rPr>
          <w:lang w:val="fr-FR"/>
        </w:rPr>
        <w:t>nya sendiri.</w:t>
      </w:r>
      <w:r w:rsidRPr="00543E2D">
        <w:rPr>
          <w:rStyle w:val="FootnoteReference"/>
          <w:lang w:val="fr-FR"/>
        </w:rPr>
        <w:footnoteReference w:id="15"/>
      </w:r>
    </w:p>
    <w:p w:rsidR="007F4BDA" w:rsidRPr="00543E2D" w:rsidRDefault="007F4BDA" w:rsidP="004A0899">
      <w:pPr>
        <w:spacing w:line="480" w:lineRule="auto"/>
        <w:ind w:left="720" w:firstLine="720"/>
        <w:jc w:val="lowKashida"/>
      </w:pPr>
      <w:r w:rsidRPr="00543E2D">
        <w:rPr>
          <w:lang w:val="fr-FR"/>
        </w:rPr>
        <w:t xml:space="preserve">Dari pengertian </w:t>
      </w:r>
      <w:r w:rsidRPr="00543E2D">
        <w:rPr>
          <w:rFonts w:ascii="Times New Arabic" w:hAnsi="Times New Arabic"/>
          <w:i/>
          <w:iCs/>
          <w:lang w:val="fr-FR"/>
        </w:rPr>
        <w:t>nusyuz</w:t>
      </w:r>
      <w:r w:rsidRPr="00543E2D">
        <w:rPr>
          <w:lang w:val="fr-FR"/>
        </w:rPr>
        <w:t xml:space="preserve"> sebagaima</w:t>
      </w:r>
      <w:r w:rsidR="001346B8">
        <w:rPr>
          <w:lang w:val="fr-FR"/>
        </w:rPr>
        <w:t>na</w:t>
      </w:r>
      <w:r w:rsidRPr="00543E2D">
        <w:rPr>
          <w:lang w:val="fr-FR"/>
        </w:rPr>
        <w:t xml:space="preserve"> yang telah dijelaskan di  atas</w:t>
      </w:r>
      <w:r w:rsidR="00975813">
        <w:rPr>
          <w:lang w:val="fr-FR"/>
        </w:rPr>
        <w:t xml:space="preserve"> yaitu sebagai sikap pembangkan</w:t>
      </w:r>
      <w:r w:rsidRPr="00543E2D">
        <w:rPr>
          <w:lang w:val="fr-FR"/>
        </w:rPr>
        <w:t xml:space="preserve">gan terhadap kewajiban-kewajiban dalam kehidupan </w:t>
      </w:r>
      <w:r w:rsidRPr="00543E2D">
        <w:rPr>
          <w:lang w:val="fr-FR"/>
        </w:rPr>
        <w:lastRenderedPageBreak/>
        <w:t>perkawinan,</w:t>
      </w:r>
      <w:r w:rsidRPr="00543E2D">
        <w:rPr>
          <w:rStyle w:val="FootnoteReference"/>
          <w:lang w:val="fr-FR"/>
        </w:rPr>
        <w:footnoteReference w:id="16"/>
      </w:r>
      <w:r w:rsidRPr="00543E2D">
        <w:rPr>
          <w:lang w:val="fr-FR"/>
        </w:rPr>
        <w:t xml:space="preserve"> sebenarnya para ulama telah mencoba melakukan klasifikasi tentang bentuk-bentuk perbuatan </w:t>
      </w:r>
      <w:r w:rsidRPr="00543E2D">
        <w:rPr>
          <w:rFonts w:ascii="Times New Arabic" w:hAnsi="Times New Arabic"/>
          <w:i/>
          <w:iCs/>
          <w:lang w:val="fr-FR"/>
        </w:rPr>
        <w:t>nusyuz</w:t>
      </w:r>
      <w:r w:rsidRPr="00543E2D">
        <w:rPr>
          <w:lang w:val="fr-FR"/>
        </w:rPr>
        <w:t xml:space="preserve"> itu sendiri. </w:t>
      </w:r>
      <w:r w:rsidRPr="00543E2D">
        <w:t xml:space="preserve">Dan diantara tingkah laku maupun ucapan yang dapat dianggap sebagai perbuatan </w:t>
      </w:r>
      <w:r w:rsidRPr="00543E2D">
        <w:rPr>
          <w:rFonts w:ascii="Times New Arabic" w:hAnsi="Times New Arabic"/>
          <w:i/>
          <w:iCs/>
        </w:rPr>
        <w:t>nusyuz</w:t>
      </w:r>
      <w:r w:rsidRPr="00543E2D">
        <w:t xml:space="preserve"> isteri ialah:</w:t>
      </w:r>
    </w:p>
    <w:p w:rsidR="007F4BDA" w:rsidRPr="00543E2D" w:rsidRDefault="007F4BDA" w:rsidP="001B7323">
      <w:pPr>
        <w:numPr>
          <w:ilvl w:val="0"/>
          <w:numId w:val="3"/>
        </w:numPr>
        <w:tabs>
          <w:tab w:val="clear" w:pos="720"/>
        </w:tabs>
        <w:ind w:left="1800"/>
        <w:jc w:val="lowKashida"/>
      </w:pPr>
      <w:r w:rsidRPr="00543E2D">
        <w:t>Apabila isteri menolak untuk pindah kerumah kediaman bersama tanpa sebab yang dapat dibenarkan secara syar’i. Padahal suami telah mengajak pindah ke tempat kedi</w:t>
      </w:r>
      <w:r w:rsidR="00527B34">
        <w:t>a</w:t>
      </w:r>
      <w:r w:rsidRPr="00543E2D">
        <w:t xml:space="preserve">man bersama sedang tempat kediaman bersama (tempat tinggal) tersebut merupakan tempat tinggal yang layak bagi dirinya. </w:t>
      </w:r>
    </w:p>
    <w:p w:rsidR="007F4BDA" w:rsidRPr="00543E2D" w:rsidRDefault="007F4BDA" w:rsidP="001B7323">
      <w:pPr>
        <w:numPr>
          <w:ilvl w:val="0"/>
          <w:numId w:val="3"/>
        </w:numPr>
        <w:tabs>
          <w:tab w:val="clear" w:pos="720"/>
        </w:tabs>
        <w:ind w:left="1800"/>
        <w:jc w:val="lowKashida"/>
      </w:pPr>
      <w:r w:rsidRPr="00543E2D">
        <w:t xml:space="preserve">Apabila keluar dari tempat tinggal bersama tanpa seizin suaminya. Akan tetapi mazhab </w:t>
      </w:r>
      <w:r w:rsidRPr="00543E2D">
        <w:rPr>
          <w:rFonts w:ascii="Times New Arabic" w:hAnsi="Times New Arabic"/>
        </w:rPr>
        <w:t>Syafi’i</w:t>
      </w:r>
      <w:r w:rsidRPr="00543E2D">
        <w:t xml:space="preserve"> dan </w:t>
      </w:r>
      <w:r w:rsidRPr="00543E2D">
        <w:rPr>
          <w:rFonts w:ascii="Times New Arabic" w:hAnsi="Times New Arabic"/>
        </w:rPr>
        <w:t>Hambali</w:t>
      </w:r>
      <w:r w:rsidRPr="00543E2D">
        <w:t xml:space="preserve"> berpendapat bahwa apabila keluarnya isteri itu untuk keperluan suaminya maka tidak termasuk </w:t>
      </w:r>
      <w:r w:rsidRPr="00543E2D">
        <w:rPr>
          <w:rFonts w:ascii="Times New Arabic" w:hAnsi="Times New Arabic"/>
          <w:i/>
          <w:iCs/>
        </w:rPr>
        <w:t>nusyuz</w:t>
      </w:r>
      <w:r w:rsidRPr="00543E2D">
        <w:t xml:space="preserve">, akan tetapi jika keluarnya isteri itu bukan karena kebutuhan suami maka isteri itu dianggap </w:t>
      </w:r>
      <w:r w:rsidRPr="00543E2D">
        <w:rPr>
          <w:rFonts w:ascii="Times New Arabic" w:hAnsi="Times New Arabic"/>
          <w:i/>
          <w:iCs/>
        </w:rPr>
        <w:t>nusyuz</w:t>
      </w:r>
      <w:r w:rsidRPr="00543E2D">
        <w:t>.</w:t>
      </w:r>
      <w:r w:rsidRPr="00543E2D">
        <w:rPr>
          <w:rStyle w:val="FootnoteReference"/>
        </w:rPr>
        <w:footnoteReference w:id="17"/>
      </w:r>
    </w:p>
    <w:p w:rsidR="001B7323" w:rsidRDefault="007F4BDA" w:rsidP="001B7323">
      <w:pPr>
        <w:numPr>
          <w:ilvl w:val="0"/>
          <w:numId w:val="3"/>
        </w:numPr>
        <w:tabs>
          <w:tab w:val="clear" w:pos="720"/>
        </w:tabs>
        <w:ind w:left="1800"/>
        <w:jc w:val="lowKashida"/>
      </w:pPr>
      <w:r w:rsidRPr="00543E2D">
        <w:t xml:space="preserve">Apabila isteri menolak untuk ditiduri oleh suaminya. Dalam suatu hadis dijelaskan tentang kewajiban seorang isteri kepada suaminya, untuk tidak menolak apabila diajak oleh suaminya untuk </w:t>
      </w:r>
      <w:r w:rsidR="001B7323">
        <w:t>melakukan hubungan suami-isteri.</w:t>
      </w:r>
    </w:p>
    <w:p w:rsidR="001B7323" w:rsidRDefault="007F4BDA" w:rsidP="001B7323">
      <w:pPr>
        <w:numPr>
          <w:ilvl w:val="0"/>
          <w:numId w:val="3"/>
        </w:numPr>
        <w:tabs>
          <w:tab w:val="clear" w:pos="720"/>
        </w:tabs>
        <w:ind w:left="1800"/>
        <w:jc w:val="lowKashida"/>
      </w:pPr>
      <w:r w:rsidRPr="00543E2D">
        <w:t xml:space="preserve">Isteri yang menolak untuk ditiduri oleh suaminya, tanpa suatu alasan yang sah maka ia dianggap </w:t>
      </w:r>
      <w:r w:rsidRPr="00543E2D">
        <w:rPr>
          <w:rFonts w:ascii="Times New Arabic" w:hAnsi="Times New Arabic"/>
          <w:i/>
          <w:iCs/>
        </w:rPr>
        <w:t>nusyuz</w:t>
      </w:r>
      <w:r w:rsidR="001B7323">
        <w:t>.</w:t>
      </w:r>
    </w:p>
    <w:p w:rsidR="007F4BDA" w:rsidRDefault="004A0899" w:rsidP="001B7323">
      <w:pPr>
        <w:numPr>
          <w:ilvl w:val="0"/>
          <w:numId w:val="3"/>
        </w:numPr>
        <w:tabs>
          <w:tab w:val="clear" w:pos="720"/>
        </w:tabs>
        <w:ind w:left="1800"/>
        <w:jc w:val="lowKashida"/>
      </w:pPr>
      <w:r>
        <w:t>M</w:t>
      </w:r>
      <w:r w:rsidR="007F4BDA" w:rsidRPr="00543E2D">
        <w:t>embangkangnya seorang isteri untuk hidup dalam satu rumah dengan suami dan dia lebih senang hidup di tempat lain yang tidak bersama suami.</w:t>
      </w:r>
      <w:r w:rsidR="007F4BDA" w:rsidRPr="00543E2D">
        <w:rPr>
          <w:rStyle w:val="FootnoteReference"/>
          <w:rtl/>
        </w:rPr>
        <w:footnoteReference w:id="18"/>
      </w:r>
    </w:p>
    <w:p w:rsidR="001B7323" w:rsidRPr="00543E2D" w:rsidRDefault="001B7323" w:rsidP="001B7323">
      <w:pPr>
        <w:pStyle w:val="ListParagraph"/>
        <w:jc w:val="both"/>
        <w:rPr>
          <w:rtl/>
        </w:rPr>
      </w:pPr>
    </w:p>
    <w:p w:rsidR="001B7323" w:rsidRDefault="005E0358" w:rsidP="001B7323">
      <w:pPr>
        <w:spacing w:line="480" w:lineRule="auto"/>
        <w:ind w:left="720" w:firstLine="720"/>
        <w:jc w:val="both"/>
      </w:pPr>
      <w:r w:rsidRPr="00543E2D">
        <w:t xml:space="preserve">Mengenali </w:t>
      </w:r>
      <w:r w:rsidR="007F4BDA" w:rsidRPr="00543E2D">
        <w:t>bentuk-bentu</w:t>
      </w:r>
      <w:r w:rsidR="00B575C3">
        <w:t>k</w:t>
      </w:r>
      <w:r w:rsidR="007F4BDA" w:rsidRPr="00543E2D">
        <w:t xml:space="preserve"> perbuatan </w:t>
      </w:r>
      <w:r w:rsidR="007F4BDA" w:rsidRPr="00543E2D">
        <w:rPr>
          <w:rFonts w:ascii="Times New Arabic" w:hAnsi="Times New Arabic"/>
          <w:i/>
          <w:iCs/>
        </w:rPr>
        <w:t>nusyuz</w:t>
      </w:r>
      <w:r>
        <w:rPr>
          <w:rFonts w:ascii="Times New Arabic" w:hAnsi="Times New Arabic"/>
          <w:i/>
          <w:iCs/>
          <w:lang w:val="id-ID"/>
        </w:rPr>
        <w:t xml:space="preserve"> </w:t>
      </w:r>
      <w:r w:rsidR="007F4BDA" w:rsidRPr="00543E2D">
        <w:t>dapat juga mengkaitkan</w:t>
      </w:r>
      <w:r w:rsidR="00B575C3">
        <w:t>n</w:t>
      </w:r>
      <w:r w:rsidR="007F4BDA" w:rsidRPr="00543E2D">
        <w:t>ya dengan kata yang artinya menghilangkan, dalam arti perempuan yang hilang rasa kasih sayangnya terhadap suami baik dzakhir maupun batinnya, sehingga seorang isteri tersebut selalu meninggalkan kehendak dan kemauan perintah suami, sehingga suami merasa benci dan tiada kepedulian kepadanya.</w:t>
      </w:r>
      <w:r w:rsidR="007F4BDA" w:rsidRPr="00543E2D">
        <w:rPr>
          <w:rStyle w:val="FootnoteReference"/>
        </w:rPr>
        <w:footnoteReference w:id="19"/>
      </w:r>
    </w:p>
    <w:p w:rsidR="001B7323" w:rsidRDefault="007F4BDA" w:rsidP="001B7323">
      <w:pPr>
        <w:spacing w:line="480" w:lineRule="auto"/>
        <w:ind w:left="720" w:firstLine="720"/>
        <w:jc w:val="both"/>
      </w:pPr>
      <w:r w:rsidRPr="00543E2D">
        <w:lastRenderedPageBreak/>
        <w:t xml:space="preserve">Secara lebih khusus </w:t>
      </w:r>
      <w:r w:rsidRPr="00543E2D">
        <w:rPr>
          <w:rFonts w:ascii="Times New Arabic" w:hAnsi="Times New Arabic"/>
        </w:rPr>
        <w:t>Wahbah al-Zuhaili</w:t>
      </w:r>
      <w:r w:rsidRPr="00543E2D">
        <w:t xml:space="preserve"> mengemukakan bahwa, </w:t>
      </w:r>
      <w:r w:rsidRPr="00543E2D">
        <w:rPr>
          <w:rFonts w:ascii="Times New Arabic" w:hAnsi="Times New Arabic"/>
          <w:i/>
          <w:iCs/>
        </w:rPr>
        <w:t xml:space="preserve">nusyuz </w:t>
      </w:r>
      <w:r w:rsidRPr="00543E2D">
        <w:t xml:space="preserve">isteri adalah lebih pada relasi seksual.Artinya ketika </w:t>
      </w:r>
      <w:r w:rsidR="00B575C3">
        <w:t>isteri tidak disibukkan oleh ber</w:t>
      </w:r>
      <w:r w:rsidRPr="00543E2D">
        <w:t>bagai alasan yang menjadi kewajibannya, atau tidak terbayang-bayangi oleh kekerasan yang mungkin dilakukan oleh suaminya.</w:t>
      </w:r>
      <w:r w:rsidRPr="00543E2D">
        <w:rPr>
          <w:rStyle w:val="FootnoteReference"/>
        </w:rPr>
        <w:footnoteReference w:id="20"/>
      </w:r>
    </w:p>
    <w:p w:rsidR="007F4BDA" w:rsidRPr="00543E2D" w:rsidRDefault="007F4BDA" w:rsidP="001B7323">
      <w:pPr>
        <w:spacing w:line="480" w:lineRule="auto"/>
        <w:ind w:left="720" w:firstLine="720"/>
        <w:jc w:val="both"/>
      </w:pPr>
      <w:r w:rsidRPr="00543E2D">
        <w:t xml:space="preserve">Sedangkan </w:t>
      </w:r>
      <w:r w:rsidRPr="00543E2D">
        <w:rPr>
          <w:rFonts w:ascii="Times New Arabic" w:hAnsi="Times New Arabic"/>
        </w:rPr>
        <w:t>Muhammad Yusuf Musa</w:t>
      </w:r>
      <w:r w:rsidRPr="00543E2D">
        <w:t xml:space="preserve"> berpendapat bahwa ciri-ciri </w:t>
      </w:r>
      <w:r w:rsidRPr="00543E2D">
        <w:rPr>
          <w:rFonts w:ascii="Times New Arabic" w:hAnsi="Times New Arabic"/>
          <w:i/>
          <w:iCs/>
        </w:rPr>
        <w:t>nusyuz</w:t>
      </w:r>
      <w:r w:rsidRPr="00543E2D">
        <w:t>isteri adalah:</w:t>
      </w:r>
    </w:p>
    <w:p w:rsidR="007F4BDA" w:rsidRPr="00543E2D" w:rsidRDefault="007F4BDA" w:rsidP="001B7323">
      <w:pPr>
        <w:pStyle w:val="BodyTextIndent"/>
        <w:numPr>
          <w:ilvl w:val="0"/>
          <w:numId w:val="4"/>
        </w:numPr>
        <w:tabs>
          <w:tab w:val="clear" w:pos="720"/>
        </w:tabs>
        <w:spacing w:after="0"/>
        <w:ind w:left="1800"/>
        <w:jc w:val="both"/>
      </w:pPr>
      <w:r w:rsidRPr="00543E2D">
        <w:t>ia menolak untuk diajak pindah ke rumah suami tanpa alasan yang  sah.</w:t>
      </w:r>
    </w:p>
    <w:p w:rsidR="007F4BDA" w:rsidRPr="00543E2D" w:rsidRDefault="007F4BDA" w:rsidP="001B7323">
      <w:pPr>
        <w:pStyle w:val="BodyTextIndent"/>
        <w:numPr>
          <w:ilvl w:val="0"/>
          <w:numId w:val="4"/>
        </w:numPr>
        <w:tabs>
          <w:tab w:val="clear" w:pos="720"/>
        </w:tabs>
        <w:spacing w:after="0"/>
        <w:ind w:left="1800"/>
        <w:jc w:val="both"/>
      </w:pPr>
      <w:r w:rsidRPr="00543E2D">
        <w:t>isteri mau untuk tinggal di rumah kediaman bersama, tetapi kemudian dia pergi dan tidak kembali ta</w:t>
      </w:r>
      <w:r w:rsidR="00E36745">
        <w:t>npa alasan yang dibenarkan syari</w:t>
      </w:r>
      <w:r w:rsidRPr="00543E2D">
        <w:t>’.</w:t>
      </w:r>
    </w:p>
    <w:p w:rsidR="007F4BDA" w:rsidRDefault="007F4BDA" w:rsidP="001B7323">
      <w:pPr>
        <w:pStyle w:val="BodyTextIndent"/>
        <w:numPr>
          <w:ilvl w:val="0"/>
          <w:numId w:val="4"/>
        </w:numPr>
        <w:tabs>
          <w:tab w:val="clear" w:pos="720"/>
        </w:tabs>
        <w:spacing w:after="0"/>
        <w:ind w:left="1800"/>
        <w:jc w:val="both"/>
      </w:pPr>
      <w:r w:rsidRPr="00543E2D">
        <w:t>keduanya tinggal di rumah isteri, tetapi isteri melarang sang suami untuk memasuki rumahnya.</w:t>
      </w:r>
      <w:r w:rsidRPr="00543E2D">
        <w:rPr>
          <w:rStyle w:val="FootnoteReference"/>
        </w:rPr>
        <w:footnoteReference w:id="21"/>
      </w:r>
    </w:p>
    <w:p w:rsidR="001B7323" w:rsidRPr="00543E2D" w:rsidRDefault="001B7323" w:rsidP="001B7323">
      <w:pPr>
        <w:pStyle w:val="BodyTextIndent"/>
        <w:spacing w:after="0"/>
        <w:ind w:left="1440"/>
        <w:jc w:val="both"/>
      </w:pPr>
    </w:p>
    <w:p w:rsidR="001B7323" w:rsidRDefault="007F4BDA" w:rsidP="001B7323">
      <w:pPr>
        <w:pStyle w:val="BodyTextIndent"/>
        <w:spacing w:line="480" w:lineRule="auto"/>
        <w:ind w:left="720" w:firstLine="720"/>
        <w:jc w:val="both"/>
      </w:pPr>
      <w:r w:rsidRPr="00543E2D">
        <w:t xml:space="preserve">Adapun bentuk-bentuk ucapan yang bisa dimasukkan dalam kategori </w:t>
      </w:r>
      <w:r w:rsidRPr="00543E2D">
        <w:rPr>
          <w:rFonts w:ascii="Times New Arabic" w:hAnsi="Times New Arabic"/>
          <w:i/>
          <w:iCs/>
        </w:rPr>
        <w:t>nusyuz</w:t>
      </w:r>
      <w:r w:rsidRPr="00543E2D">
        <w:t>nya isteri sehingga suami dip</w:t>
      </w:r>
      <w:r w:rsidR="00635D6B">
        <w:t>e</w:t>
      </w:r>
      <w:r w:rsidRPr="00543E2D">
        <w:t>rbolehkan memukulnya diantara mencaci maki orang lain, mengucapkan kata-kata yang tidak pantas seperti bodoh, kepada suami meskipun suami mencaci lebih dulu.</w:t>
      </w:r>
      <w:r w:rsidRPr="00543E2D">
        <w:rPr>
          <w:rStyle w:val="FootnoteReference"/>
        </w:rPr>
        <w:footnoteReference w:id="22"/>
      </w:r>
    </w:p>
    <w:p w:rsidR="001B7323" w:rsidRDefault="007F4BDA" w:rsidP="001B7323">
      <w:pPr>
        <w:pStyle w:val="BodyTextIndent"/>
        <w:spacing w:line="480" w:lineRule="auto"/>
        <w:ind w:left="720" w:firstLine="720"/>
        <w:jc w:val="both"/>
      </w:pPr>
      <w:r w:rsidRPr="00543E2D">
        <w:t xml:space="preserve">Menurut </w:t>
      </w:r>
      <w:r w:rsidRPr="00543E2D">
        <w:rPr>
          <w:rFonts w:ascii="Times New Arabic" w:hAnsi="Times New Arabic"/>
        </w:rPr>
        <w:t>Saleh bin Ganim</w:t>
      </w:r>
      <w:r w:rsidRPr="00543E2D">
        <w:t xml:space="preserve">, bentuk-bentuk perbuatan </w:t>
      </w:r>
      <w:r w:rsidRPr="00543E2D">
        <w:rPr>
          <w:rFonts w:ascii="Times New Arabic" w:hAnsi="Times New Arabic"/>
          <w:i/>
          <w:iCs/>
        </w:rPr>
        <w:t>nusyuz</w:t>
      </w:r>
      <w:r w:rsidRPr="00543E2D">
        <w:t xml:space="preserve"> yang berupa perkataan atau ucapan adalah seperti tutur sapa seorang isteri kepada suaminya yang semula lembut,  tiba-tiba beruba menjadi kasar dan tidak sopan. Bila dipanggil suami, isteri tidak menjawab, atau menjawab dengan nada terpaksa, atau pura-pura tidak mendengar dan mengulur-ulur jawaban, berbicara dengan sura keras dan nada tinggi, berbicara dengan laki-laki lain </w:t>
      </w:r>
      <w:r w:rsidRPr="00543E2D">
        <w:lastRenderedPageBreak/>
        <w:t>yang tidak mahramnya, baik langsung maupun tidak (lewat telepon atau bersurat-suratan), dengang tujuan tidak dibenarkan syara’, mencaci-maki, berkata kotor dan melaknat, menyebarkan berita keburukan suami dengan tujuan melecehkannya di hadapan orang lain, tidak menepati janji terhadap suami, menuduh suami berbuat mesum dan meminta cerai tanpa alasan yang jelas.</w:t>
      </w:r>
      <w:r w:rsidRPr="00543E2D">
        <w:rPr>
          <w:rStyle w:val="FootnoteReference"/>
        </w:rPr>
        <w:footnoteReference w:id="23"/>
      </w:r>
    </w:p>
    <w:p w:rsidR="007F4BDA" w:rsidRPr="00543E2D" w:rsidRDefault="007F4BDA" w:rsidP="001B7323">
      <w:pPr>
        <w:pStyle w:val="BodyTextIndent"/>
        <w:spacing w:line="480" w:lineRule="auto"/>
        <w:ind w:left="720" w:firstLine="720"/>
        <w:jc w:val="both"/>
      </w:pPr>
      <w:r w:rsidRPr="00543E2D">
        <w:t xml:space="preserve">Sebagaimana isteri, </w:t>
      </w:r>
      <w:r w:rsidRPr="00543E2D">
        <w:rPr>
          <w:rFonts w:ascii="Times New Arabic" w:hAnsi="Times New Arabic"/>
          <w:i/>
          <w:iCs/>
        </w:rPr>
        <w:t xml:space="preserve">nusyuz </w:t>
      </w:r>
      <w:r w:rsidRPr="00543E2D">
        <w:t xml:space="preserve">suami pun dapat berupa ucapan, perbuatan atau juga dapat berupa kedua-duanya sekaligus. Dan hal ini sebagaimana diuraikan secara rinci oleh </w:t>
      </w:r>
      <w:r w:rsidRPr="00543E2D">
        <w:rPr>
          <w:rFonts w:ascii="Times New Arabic" w:hAnsi="Times New Arabic"/>
        </w:rPr>
        <w:t>Saleh bin Ganim</w:t>
      </w:r>
      <w:r w:rsidRPr="00543E2D">
        <w:t xml:space="preserve"> sebagai berikut:</w:t>
      </w:r>
      <w:r w:rsidRPr="00543E2D">
        <w:rPr>
          <w:rStyle w:val="FootnoteReference"/>
        </w:rPr>
        <w:footnoteReference w:id="24"/>
      </w:r>
    </w:p>
    <w:p w:rsidR="007F4BDA" w:rsidRPr="00543E2D" w:rsidRDefault="007F4BDA" w:rsidP="003F235E">
      <w:pPr>
        <w:pStyle w:val="BodyTextIndent"/>
        <w:numPr>
          <w:ilvl w:val="1"/>
          <w:numId w:val="6"/>
        </w:numPr>
        <w:tabs>
          <w:tab w:val="clear" w:pos="1764"/>
        </w:tabs>
        <w:spacing w:after="0" w:line="480" w:lineRule="auto"/>
        <w:ind w:left="1440" w:hanging="360"/>
        <w:jc w:val="both"/>
      </w:pPr>
      <w:r w:rsidRPr="00543E2D">
        <w:t>mendiamkan isteri, tidak diajak bicara. Meskipun bicara tapi selalu menggunakan kata-kata yang kasar dan menyakitkan.</w:t>
      </w:r>
    </w:p>
    <w:p w:rsidR="007F4BDA" w:rsidRPr="00543E2D" w:rsidRDefault="007F4BDA" w:rsidP="003F235E">
      <w:pPr>
        <w:pStyle w:val="BodyTextIndent"/>
        <w:numPr>
          <w:ilvl w:val="1"/>
          <w:numId w:val="6"/>
        </w:numPr>
        <w:tabs>
          <w:tab w:val="clear" w:pos="1764"/>
        </w:tabs>
        <w:spacing w:after="0" w:line="480" w:lineRule="auto"/>
        <w:ind w:left="1440" w:hanging="360"/>
        <w:jc w:val="both"/>
      </w:pPr>
      <w:r w:rsidRPr="00543E2D">
        <w:t>mencela dengan menyebut-nyebut keaiban jasmani atau jiwanya.</w:t>
      </w:r>
    </w:p>
    <w:p w:rsidR="007F4BDA" w:rsidRPr="00543E2D" w:rsidRDefault="007F4BDA" w:rsidP="003F235E">
      <w:pPr>
        <w:pStyle w:val="BodyTextIndent"/>
        <w:numPr>
          <w:ilvl w:val="1"/>
          <w:numId w:val="6"/>
        </w:numPr>
        <w:tabs>
          <w:tab w:val="clear" w:pos="1764"/>
        </w:tabs>
        <w:spacing w:after="0" w:line="480" w:lineRule="auto"/>
        <w:ind w:left="1440" w:hanging="360"/>
        <w:jc w:val="both"/>
      </w:pPr>
      <w:r w:rsidRPr="00543E2D">
        <w:t>berburuk sangka terhadap isteri, dan tidak mengajak isteri tidur bersama.</w:t>
      </w:r>
    </w:p>
    <w:p w:rsidR="007F4BDA" w:rsidRPr="00543E2D" w:rsidRDefault="007F4BDA" w:rsidP="003F235E">
      <w:pPr>
        <w:pStyle w:val="BodyTextIndent"/>
        <w:numPr>
          <w:ilvl w:val="1"/>
          <w:numId w:val="6"/>
        </w:numPr>
        <w:tabs>
          <w:tab w:val="clear" w:pos="1764"/>
        </w:tabs>
        <w:spacing w:after="0" w:line="480" w:lineRule="auto"/>
        <w:ind w:left="1440" w:hanging="360"/>
        <w:jc w:val="both"/>
      </w:pPr>
      <w:r w:rsidRPr="00543E2D">
        <w:t>menyuruh isteri melakukan maksiat dan melangar larangan Allah.</w:t>
      </w:r>
    </w:p>
    <w:p w:rsidR="007F4BDA" w:rsidRPr="00543E2D" w:rsidRDefault="007F4BDA" w:rsidP="004A0899">
      <w:pPr>
        <w:pStyle w:val="BodyTextIndent"/>
        <w:spacing w:line="480" w:lineRule="auto"/>
        <w:ind w:left="720" w:firstLine="1080"/>
      </w:pPr>
      <w:r w:rsidRPr="00543E2D">
        <w:t xml:space="preserve">Sementara itu, bentuk </w:t>
      </w:r>
      <w:r w:rsidRPr="00543E2D">
        <w:rPr>
          <w:rFonts w:ascii="Times New Arabic" w:hAnsi="Times New Arabic"/>
          <w:i/>
          <w:iCs/>
        </w:rPr>
        <w:t xml:space="preserve">nusyuz </w:t>
      </w:r>
      <w:r w:rsidRPr="00543E2D">
        <w:t>yang berupa perbuatan dapat berupa:</w:t>
      </w:r>
    </w:p>
    <w:p w:rsidR="007F4BDA" w:rsidRPr="00543E2D" w:rsidRDefault="007F4BDA" w:rsidP="003F235E">
      <w:pPr>
        <w:pStyle w:val="BodyTextIndent"/>
        <w:numPr>
          <w:ilvl w:val="0"/>
          <w:numId w:val="7"/>
        </w:numPr>
        <w:tabs>
          <w:tab w:val="clear" w:pos="1440"/>
        </w:tabs>
        <w:spacing w:after="0" w:line="480" w:lineRule="auto"/>
        <w:jc w:val="both"/>
      </w:pPr>
      <w:r w:rsidRPr="00543E2D">
        <w:t>tidak mengauli isterinya tanpa uzur atau sebab-sebab yang jelas.</w:t>
      </w:r>
    </w:p>
    <w:p w:rsidR="007F4BDA" w:rsidRPr="00543E2D" w:rsidRDefault="007F4BDA" w:rsidP="003F235E">
      <w:pPr>
        <w:pStyle w:val="BodyTextIndent"/>
        <w:numPr>
          <w:ilvl w:val="0"/>
          <w:numId w:val="7"/>
        </w:numPr>
        <w:tabs>
          <w:tab w:val="clear" w:pos="1440"/>
        </w:tabs>
        <w:spacing w:after="0" w:line="480" w:lineRule="auto"/>
        <w:jc w:val="both"/>
      </w:pPr>
      <w:r w:rsidRPr="00543E2D">
        <w:t>menganiaya isteri, baik dengan pukulan, hinaan, atau celaan dengan tujuan hendak mencelakakan isteri.</w:t>
      </w:r>
    </w:p>
    <w:p w:rsidR="007F4BDA" w:rsidRPr="00543E2D" w:rsidRDefault="007F4BDA" w:rsidP="003F235E">
      <w:pPr>
        <w:pStyle w:val="BodyTextIndent"/>
        <w:numPr>
          <w:ilvl w:val="0"/>
          <w:numId w:val="7"/>
        </w:numPr>
        <w:tabs>
          <w:tab w:val="clear" w:pos="1440"/>
        </w:tabs>
        <w:spacing w:after="0" w:line="480" w:lineRule="auto"/>
        <w:jc w:val="both"/>
      </w:pPr>
      <w:r w:rsidRPr="00543E2D">
        <w:t>tidak memberi nafkah sandang, pangan dan lain-lain.</w:t>
      </w:r>
    </w:p>
    <w:p w:rsidR="007F4BDA" w:rsidRPr="00543E2D" w:rsidRDefault="007F4BDA" w:rsidP="00AE5A60">
      <w:pPr>
        <w:pStyle w:val="BodyTextIndent"/>
        <w:numPr>
          <w:ilvl w:val="0"/>
          <w:numId w:val="7"/>
        </w:numPr>
        <w:tabs>
          <w:tab w:val="clear" w:pos="1440"/>
        </w:tabs>
        <w:spacing w:after="0" w:line="480" w:lineRule="auto"/>
        <w:jc w:val="both"/>
      </w:pPr>
      <w:r w:rsidRPr="00543E2D">
        <w:lastRenderedPageBreak/>
        <w:t>menjahui isteri karena penyakit yang dideritanya.</w:t>
      </w:r>
    </w:p>
    <w:p w:rsidR="007F4BDA" w:rsidRPr="00543E2D" w:rsidRDefault="007F4BDA" w:rsidP="003F235E">
      <w:pPr>
        <w:pStyle w:val="Heading1"/>
        <w:numPr>
          <w:ilvl w:val="0"/>
          <w:numId w:val="8"/>
        </w:numPr>
        <w:tabs>
          <w:tab w:val="left" w:pos="-2430"/>
        </w:tabs>
        <w:spacing w:line="500" w:lineRule="exact"/>
        <w:ind w:left="720"/>
        <w:jc w:val="lowKashida"/>
        <w:rPr>
          <w:b/>
          <w:u w:val="none"/>
        </w:rPr>
      </w:pPr>
      <w:r w:rsidRPr="00543E2D">
        <w:rPr>
          <w:b/>
          <w:u w:val="none"/>
        </w:rPr>
        <w:t xml:space="preserve">Akibat Hukum </w:t>
      </w:r>
      <w:r w:rsidRPr="00543E2D">
        <w:rPr>
          <w:rFonts w:ascii="Times New Arabic" w:hAnsi="Times New Arabic"/>
          <w:b/>
          <w:i/>
          <w:iCs/>
          <w:u w:val="none"/>
        </w:rPr>
        <w:t>Nusyuz</w:t>
      </w:r>
    </w:p>
    <w:p w:rsidR="007F4BDA" w:rsidRPr="00543E2D" w:rsidRDefault="007F4BDA" w:rsidP="003F235E">
      <w:pPr>
        <w:pStyle w:val="Heading1"/>
        <w:spacing w:line="500" w:lineRule="exact"/>
        <w:ind w:left="720" w:firstLine="720"/>
        <w:jc w:val="both"/>
        <w:rPr>
          <w:bCs/>
          <w:u w:val="none"/>
        </w:rPr>
      </w:pPr>
      <w:r w:rsidRPr="00543E2D">
        <w:rPr>
          <w:bCs/>
          <w:u w:val="none"/>
        </w:rPr>
        <w:t xml:space="preserve">Menurut </w:t>
      </w:r>
      <w:r w:rsidRPr="00543E2D">
        <w:rPr>
          <w:rFonts w:ascii="Times New Arabic" w:hAnsi="Times New Arabic"/>
          <w:bCs/>
          <w:u w:val="none"/>
        </w:rPr>
        <w:t>Muhammad 'Ali al-Sabuni</w:t>
      </w:r>
      <w:r w:rsidRPr="00543E2D">
        <w:rPr>
          <w:bCs/>
          <w:u w:val="none"/>
        </w:rPr>
        <w:t xml:space="preserve">, apabila terjadi </w:t>
      </w:r>
      <w:r w:rsidRPr="00543E2D">
        <w:rPr>
          <w:rFonts w:ascii="Times New Arabic" w:hAnsi="Times New Arabic"/>
          <w:bCs/>
          <w:i/>
          <w:iCs/>
          <w:u w:val="none"/>
        </w:rPr>
        <w:t>nusyuz</w:t>
      </w:r>
      <w:r w:rsidRPr="00543E2D">
        <w:rPr>
          <w:bCs/>
          <w:u w:val="none"/>
        </w:rPr>
        <w:t>yang dilakukan oleh isteri maka Islam memberikan cara yang jelas dalam mengatasinya:</w:t>
      </w:r>
    </w:p>
    <w:p w:rsidR="007F4BDA" w:rsidRPr="00543E2D" w:rsidRDefault="007F4BDA" w:rsidP="003F235E">
      <w:pPr>
        <w:numPr>
          <w:ilvl w:val="0"/>
          <w:numId w:val="5"/>
        </w:numPr>
        <w:tabs>
          <w:tab w:val="clear" w:pos="720"/>
        </w:tabs>
        <w:spacing w:line="500" w:lineRule="exact"/>
        <w:ind w:left="1080"/>
        <w:jc w:val="lowKashida"/>
      </w:pPr>
      <w:r w:rsidRPr="00543E2D">
        <w:t>Memberikan nasihat dan bimbingan dengan bijaksana dan tutur kata yang baik.</w:t>
      </w:r>
    </w:p>
    <w:p w:rsidR="007F4BDA" w:rsidRPr="00543E2D" w:rsidRDefault="007F4BDA" w:rsidP="003F235E">
      <w:pPr>
        <w:numPr>
          <w:ilvl w:val="0"/>
          <w:numId w:val="5"/>
        </w:numPr>
        <w:tabs>
          <w:tab w:val="clear" w:pos="720"/>
          <w:tab w:val="num" w:pos="-1080"/>
        </w:tabs>
        <w:spacing w:line="500" w:lineRule="exact"/>
        <w:ind w:left="1080"/>
        <w:jc w:val="lowKashida"/>
      </w:pPr>
      <w:r w:rsidRPr="00543E2D">
        <w:t>Memisahi ranjang dan tidak mencampurinya (meng</w:t>
      </w:r>
      <w:r w:rsidR="00700594">
        <w:t>g</w:t>
      </w:r>
      <w:r w:rsidRPr="00543E2D">
        <w:t>aulinya).</w:t>
      </w:r>
    </w:p>
    <w:p w:rsidR="007F4BDA" w:rsidRPr="00543E2D" w:rsidRDefault="007F4BDA" w:rsidP="003F235E">
      <w:pPr>
        <w:numPr>
          <w:ilvl w:val="0"/>
          <w:numId w:val="5"/>
        </w:numPr>
        <w:tabs>
          <w:tab w:val="clear" w:pos="720"/>
          <w:tab w:val="num" w:pos="-1080"/>
        </w:tabs>
        <w:spacing w:line="500" w:lineRule="exact"/>
        <w:ind w:left="1080"/>
        <w:jc w:val="lowKashida"/>
      </w:pPr>
      <w:r w:rsidRPr="00543E2D">
        <w:t>Pukulan yang sekiranya tidak menyakitkan, misalnya dengan siwakdan sebagainya, dengan tujuan sebagai pembelajaran baginya.</w:t>
      </w:r>
    </w:p>
    <w:p w:rsidR="007F4BDA" w:rsidRPr="00543E2D" w:rsidRDefault="007F4BDA" w:rsidP="003F235E">
      <w:pPr>
        <w:numPr>
          <w:ilvl w:val="0"/>
          <w:numId w:val="5"/>
        </w:numPr>
        <w:tabs>
          <w:tab w:val="clear" w:pos="720"/>
          <w:tab w:val="num" w:pos="-1080"/>
        </w:tabs>
        <w:spacing w:line="500" w:lineRule="exact"/>
        <w:ind w:left="1080"/>
        <w:jc w:val="lowKashida"/>
        <w:rPr>
          <w:lang w:val="id-ID"/>
        </w:rPr>
      </w:pPr>
      <w:r w:rsidRPr="00543E2D">
        <w:t xml:space="preserve">Kalau ketiga cara diatas sudah tidak berguna (masih belum bisa mengatasi isteri yang </w:t>
      </w:r>
      <w:r w:rsidRPr="00543E2D">
        <w:rPr>
          <w:rFonts w:ascii="Times New Arabic" w:hAnsi="Times New Arabic"/>
          <w:i/>
          <w:iCs/>
        </w:rPr>
        <w:t>nusyuz</w:t>
      </w:r>
      <w:r w:rsidRPr="00543E2D">
        <w:t>), maka dicari jalan dengan bertahkim (mengangkat hakim) untuk menyelesaikannya.</w:t>
      </w:r>
      <w:r w:rsidRPr="00543E2D">
        <w:rPr>
          <w:rStyle w:val="FootnoteReference"/>
        </w:rPr>
        <w:footnoteReference w:id="25"/>
      </w:r>
    </w:p>
    <w:p w:rsidR="003F235E" w:rsidRPr="005E0358" w:rsidRDefault="007F4BDA" w:rsidP="003F235E">
      <w:pPr>
        <w:spacing w:line="500" w:lineRule="exact"/>
        <w:ind w:left="720" w:firstLine="720"/>
        <w:jc w:val="lowKashida"/>
        <w:rPr>
          <w:lang w:val="id-ID"/>
        </w:rPr>
      </w:pPr>
      <w:r w:rsidRPr="00543E2D">
        <w:rPr>
          <w:lang w:val="id-ID"/>
        </w:rPr>
        <w:t xml:space="preserve">Mengenai tiga tindakan yang harus dilakukan suami terhadap isteri yang </w:t>
      </w:r>
      <w:r w:rsidRPr="00543E2D">
        <w:rPr>
          <w:rFonts w:ascii="Times New Arabic" w:hAnsi="Times New Arabic"/>
          <w:i/>
          <w:iCs/>
          <w:lang w:val="id-ID"/>
        </w:rPr>
        <w:t>nusyuz</w:t>
      </w:r>
      <w:r w:rsidRPr="00543E2D">
        <w:rPr>
          <w:lang w:val="id-ID"/>
        </w:rPr>
        <w:t xml:space="preserve"> berdasarkan pada surat </w:t>
      </w:r>
      <w:r w:rsidRPr="00543E2D">
        <w:rPr>
          <w:rFonts w:ascii="Times New Arabic" w:hAnsi="Times New Arabic"/>
          <w:lang w:val="id-ID"/>
        </w:rPr>
        <w:t>an-Nisa'</w:t>
      </w:r>
      <w:r w:rsidRPr="00543E2D">
        <w:rPr>
          <w:lang w:val="id-ID"/>
        </w:rPr>
        <w:t xml:space="preserve"> Ayat 34 di atas tersebut, ulama fiqh berbeda pendapat dalam pelaksanaanya, apakah harus berurutan atau tidak. Menurut </w:t>
      </w:r>
      <w:r w:rsidRPr="00543E2D">
        <w:rPr>
          <w:rFonts w:ascii="Times New Arabic" w:hAnsi="Times New Arabic"/>
          <w:lang w:val="id-ID"/>
        </w:rPr>
        <w:t>jumhur</w:t>
      </w:r>
      <w:r w:rsidRPr="00543E2D">
        <w:rPr>
          <w:lang w:val="id-ID"/>
        </w:rPr>
        <w:t xml:space="preserve">, termasuk mazhab </w:t>
      </w:r>
      <w:r w:rsidRPr="00543E2D">
        <w:rPr>
          <w:rFonts w:ascii="Times New Arabic" w:hAnsi="Times New Arabic"/>
          <w:lang w:val="id-ID"/>
        </w:rPr>
        <w:t>Hambali</w:t>
      </w:r>
      <w:r w:rsidRPr="00543E2D">
        <w:rPr>
          <w:lang w:val="id-ID"/>
        </w:rPr>
        <w:t xml:space="preserve">, tindakan tersebut harus berurutan dan disesuaikan dengan tingkat dan kadar </w:t>
      </w:r>
      <w:r w:rsidRPr="00543E2D">
        <w:rPr>
          <w:rFonts w:ascii="Times New Arabic" w:hAnsi="Times New Arabic"/>
          <w:i/>
          <w:iCs/>
          <w:lang w:val="id-ID"/>
        </w:rPr>
        <w:t>nusyuz</w:t>
      </w:r>
      <w:r w:rsidRPr="00543E2D">
        <w:rPr>
          <w:lang w:val="id-ID"/>
        </w:rPr>
        <w:t xml:space="preserve">nya. Sedangkan mazhab </w:t>
      </w:r>
      <w:r w:rsidRPr="00543E2D">
        <w:rPr>
          <w:rFonts w:ascii="Times New Arabic" w:hAnsi="Times New Arabic"/>
          <w:lang w:val="id-ID"/>
        </w:rPr>
        <w:t>Syafi’i,</w:t>
      </w:r>
      <w:r w:rsidRPr="00543E2D">
        <w:rPr>
          <w:lang w:val="id-ID"/>
        </w:rPr>
        <w:t xml:space="preserve"> termasuk </w:t>
      </w:r>
      <w:r w:rsidRPr="00543E2D">
        <w:rPr>
          <w:rFonts w:ascii="Times New Arabic" w:hAnsi="Times New Arabic"/>
          <w:lang w:val="id-ID"/>
        </w:rPr>
        <w:t>Imam Nawawi</w:t>
      </w:r>
      <w:r w:rsidRPr="00543E2D">
        <w:rPr>
          <w:lang w:val="id-ID"/>
        </w:rPr>
        <w:t xml:space="preserve">, berpendapat bahwa dalam melakukan tindakan tersebut tidak harus berjenjang, boleh memilih tindakan yang diinginkan seperti tindakan pemukulan boleh dilakukan pada awal isteri </w:t>
      </w:r>
      <w:r w:rsidRPr="00543E2D">
        <w:rPr>
          <w:rFonts w:ascii="Times New Arabic" w:hAnsi="Times New Arabic"/>
          <w:i/>
          <w:iCs/>
          <w:lang w:val="id-ID"/>
        </w:rPr>
        <w:t>nusyuz</w:t>
      </w:r>
      <w:r w:rsidRPr="00543E2D">
        <w:rPr>
          <w:lang w:val="id-ID"/>
        </w:rPr>
        <w:t>.</w:t>
      </w:r>
      <w:r w:rsidRPr="00543E2D">
        <w:rPr>
          <w:rStyle w:val="FootnoteReference"/>
        </w:rPr>
        <w:footnoteReference w:id="26"/>
      </w:r>
      <w:r w:rsidRPr="00543E2D">
        <w:rPr>
          <w:lang w:val="id-ID"/>
        </w:rPr>
        <w:t xml:space="preserve"> Hal itu dengan catatan jika dirasa dapat mendatangkan manfaat atau </w:t>
      </w:r>
      <w:r w:rsidRPr="00543E2D">
        <w:rPr>
          <w:lang w:val="id-ID"/>
        </w:rPr>
        <w:lastRenderedPageBreak/>
        <w:t>faedah jika tidak maka tidak perlu, malah yang lebih baik adalah memaafkannya.</w:t>
      </w:r>
      <w:r w:rsidRPr="00543E2D">
        <w:rPr>
          <w:rStyle w:val="FootnoteReference"/>
        </w:rPr>
        <w:footnoteReference w:id="27"/>
      </w:r>
    </w:p>
    <w:p w:rsidR="003F235E" w:rsidRPr="005E0358" w:rsidRDefault="007F4BDA" w:rsidP="003F235E">
      <w:pPr>
        <w:spacing w:line="500" w:lineRule="exact"/>
        <w:ind w:left="720" w:firstLine="720"/>
        <w:jc w:val="lowKashida"/>
        <w:rPr>
          <w:lang w:val="id-ID"/>
        </w:rPr>
      </w:pPr>
      <w:r w:rsidRPr="00543E2D">
        <w:rPr>
          <w:lang w:val="id-ID"/>
        </w:rPr>
        <w:t xml:space="preserve">Sebagai akibat hukum yang lain dari perbuatan </w:t>
      </w:r>
      <w:r w:rsidRPr="00543E2D">
        <w:rPr>
          <w:rFonts w:ascii="Times New Arabic" w:hAnsi="Times New Arabic"/>
          <w:i/>
          <w:iCs/>
          <w:lang w:val="id-ID"/>
        </w:rPr>
        <w:t>nusyuz</w:t>
      </w:r>
      <w:r w:rsidRPr="00543E2D">
        <w:rPr>
          <w:lang w:val="id-ID"/>
        </w:rPr>
        <w:t xml:space="preserve"> menurut </w:t>
      </w:r>
      <w:r w:rsidRPr="00543E2D">
        <w:rPr>
          <w:rFonts w:ascii="Times New Arabic" w:hAnsi="Times New Arabic"/>
          <w:lang w:val="id-ID"/>
        </w:rPr>
        <w:t>jumhur</w:t>
      </w:r>
      <w:r w:rsidRPr="00543E2D">
        <w:rPr>
          <w:lang w:val="id-ID"/>
        </w:rPr>
        <w:t xml:space="preserve"> ulama, mereka sepakat bahwa isteri yang tidak taat kepada suaminya (tidak ada </w:t>
      </w:r>
      <w:r w:rsidRPr="00543E2D">
        <w:rPr>
          <w:rFonts w:ascii="Times New Arabic" w:hAnsi="Times New Arabic"/>
          <w:i/>
          <w:iCs/>
          <w:lang w:val="id-ID"/>
        </w:rPr>
        <w:t>tamkin</w:t>
      </w:r>
      <w:r w:rsidRPr="00543E2D">
        <w:rPr>
          <w:lang w:val="id-ID"/>
        </w:rPr>
        <w:t xml:space="preserve"> sempurna dari isteri) tanpa adanya suatu alasan yang dapat dibenarkan secara </w:t>
      </w:r>
      <w:r w:rsidRPr="00543E2D">
        <w:rPr>
          <w:rFonts w:ascii="Times New Arabic" w:hAnsi="Times New Arabic"/>
          <w:lang w:val="id-ID"/>
        </w:rPr>
        <w:t>syar’i</w:t>
      </w:r>
      <w:r w:rsidRPr="00543E2D">
        <w:rPr>
          <w:lang w:val="id-ID"/>
        </w:rPr>
        <w:t xml:space="preserve"> atau secara </w:t>
      </w:r>
      <w:r w:rsidRPr="00543E2D">
        <w:rPr>
          <w:rFonts w:ascii="Times New Arabic" w:hAnsi="Times New Arabic"/>
          <w:lang w:val="id-ID"/>
        </w:rPr>
        <w:t>‘aqli</w:t>
      </w:r>
      <w:r w:rsidRPr="00543E2D">
        <w:rPr>
          <w:lang w:val="id-ID"/>
        </w:rPr>
        <w:t xml:space="preserve"> maka isteri dianggap </w:t>
      </w:r>
      <w:r w:rsidRPr="00543E2D">
        <w:rPr>
          <w:rFonts w:ascii="Times New Arabic" w:hAnsi="Times New Arabic"/>
          <w:i/>
          <w:iCs/>
          <w:lang w:val="id-ID"/>
        </w:rPr>
        <w:t>nusyuz</w:t>
      </w:r>
      <w:r w:rsidRPr="00543E2D">
        <w:rPr>
          <w:lang w:val="id-ID"/>
        </w:rPr>
        <w:t xml:space="preserve"> dan tidak berhak mendapatkan nafkah. Dalam hal suami beristeri lebih dari satu (poligami) maka terhadap isteri yang </w:t>
      </w:r>
      <w:r w:rsidRPr="00543E2D">
        <w:rPr>
          <w:rFonts w:ascii="Times New Arabic" w:hAnsi="Times New Arabic"/>
          <w:i/>
          <w:iCs/>
          <w:lang w:val="id-ID"/>
        </w:rPr>
        <w:t>nusyuz</w:t>
      </w:r>
      <w:r w:rsidRPr="00543E2D">
        <w:rPr>
          <w:lang w:val="id-ID"/>
        </w:rPr>
        <w:t xml:space="preserve">selain tidak wajib memberikan nafkah, suami juga tidak wajib memberikan giliranya. </w:t>
      </w:r>
      <w:r w:rsidRPr="005E0358">
        <w:rPr>
          <w:lang w:val="id-ID"/>
        </w:rPr>
        <w:t>Tetapi ia masih wajib memberikan tempat tinggal.</w:t>
      </w:r>
      <w:r w:rsidRPr="00543E2D">
        <w:rPr>
          <w:rStyle w:val="FootnoteReference"/>
        </w:rPr>
        <w:footnoteReference w:id="28"/>
      </w:r>
    </w:p>
    <w:p w:rsidR="003F235E" w:rsidRPr="005E0358" w:rsidRDefault="007F4BDA" w:rsidP="003F235E">
      <w:pPr>
        <w:spacing w:line="500" w:lineRule="exact"/>
        <w:ind w:left="720" w:firstLine="720"/>
        <w:jc w:val="lowKashida"/>
        <w:rPr>
          <w:lang w:val="id-ID"/>
        </w:rPr>
      </w:pPr>
      <w:r w:rsidRPr="005E0358">
        <w:rPr>
          <w:lang w:val="id-ID"/>
        </w:rPr>
        <w:t xml:space="preserve">Menurut </w:t>
      </w:r>
      <w:r w:rsidR="000437BC" w:rsidRPr="005E0358">
        <w:rPr>
          <w:rFonts w:ascii="Times New Arabic" w:hAnsi="Times New Arabic"/>
          <w:lang w:val="id-ID"/>
        </w:rPr>
        <w:t>maz</w:t>
      </w:r>
      <w:r w:rsidRPr="005E0358">
        <w:rPr>
          <w:rFonts w:ascii="Times New Arabic" w:hAnsi="Times New Arabic"/>
          <w:lang w:val="id-ID"/>
        </w:rPr>
        <w:t>hab Hanafi</w:t>
      </w:r>
      <w:r w:rsidRPr="005E0358">
        <w:rPr>
          <w:lang w:val="id-ID"/>
        </w:rPr>
        <w:t xml:space="preserve">, apabila seorang isteri mengikatkan (tertahan) dirinya dirumah suaminya dan dia tidak keluar tanpa seizin suaminya, maka isteri seperti ini dianggap taat. Sedangan bila ia keluar rumah atau menolak berhubungan badan dengan alasan yang tidak dapat dibenarkan secara syar’i maka ia disebut </w:t>
      </w:r>
      <w:r w:rsidRPr="005E0358">
        <w:rPr>
          <w:rFonts w:ascii="Times New Arabic" w:hAnsi="Times New Arabic"/>
          <w:i/>
          <w:iCs/>
          <w:lang w:val="id-ID"/>
        </w:rPr>
        <w:t>nusyuz</w:t>
      </w:r>
      <w:r w:rsidRPr="005E0358">
        <w:rPr>
          <w:lang w:val="id-ID"/>
        </w:rPr>
        <w:t xml:space="preserve">dan tidak mendapatkan nafkah sedikitpun, karena sebab wajibnya nafkah menurut ulama </w:t>
      </w:r>
      <w:r w:rsidRPr="005E0358">
        <w:rPr>
          <w:rFonts w:ascii="Times New Arabic" w:hAnsi="Times New Arabic"/>
          <w:lang w:val="id-ID"/>
        </w:rPr>
        <w:t>Hanafiyah</w:t>
      </w:r>
      <w:r w:rsidRPr="005E0358">
        <w:rPr>
          <w:lang w:val="id-ID"/>
        </w:rPr>
        <w:t xml:space="preserve"> adalah tertahannya seorang isteri di rumah suami.</w:t>
      </w:r>
      <w:r w:rsidRPr="00543E2D">
        <w:rPr>
          <w:rStyle w:val="FootnoteReference"/>
        </w:rPr>
        <w:footnoteReference w:id="29"/>
      </w:r>
    </w:p>
    <w:p w:rsidR="003F235E" w:rsidRPr="004F5F4E" w:rsidRDefault="007F4BDA" w:rsidP="003F235E">
      <w:pPr>
        <w:spacing w:line="500" w:lineRule="exact"/>
        <w:ind w:left="720" w:firstLine="720"/>
        <w:jc w:val="lowKashida"/>
        <w:rPr>
          <w:rFonts w:ascii="Times New Arabic" w:hAnsi="Times New Arabic"/>
          <w:i/>
          <w:iCs/>
          <w:lang w:val="id-ID"/>
        </w:rPr>
      </w:pPr>
      <w:r w:rsidRPr="005E0358">
        <w:rPr>
          <w:lang w:val="id-ID"/>
        </w:rPr>
        <w:t xml:space="preserve">Dalam Kompilasi Hukum Islam (KHI) dijelaskan bahwa kewajiban-kewajiban suami yang berupa kewajiban memberi nafkah, menyediakan tempat kediaman bagi isteri, biaya rumah tangga, biaya perawatan dan pengobatan </w:t>
      </w:r>
      <w:r w:rsidRPr="005E0358">
        <w:rPr>
          <w:lang w:val="id-ID"/>
        </w:rPr>
        <w:lastRenderedPageBreak/>
        <w:t xml:space="preserve">bagi isteri berlaku semenjak adanya tamkin sempurna dari isterinya. </w:t>
      </w:r>
      <w:r w:rsidRPr="004F5F4E">
        <w:rPr>
          <w:lang w:val="id-ID"/>
        </w:rPr>
        <w:t xml:space="preserve">Dan kewajiban-kewajiban tersebut menjadi gugur apabila isteri </w:t>
      </w:r>
      <w:r w:rsidRPr="004F5F4E">
        <w:rPr>
          <w:rFonts w:ascii="Times New Arabic" w:hAnsi="Times New Arabic"/>
          <w:i/>
          <w:iCs/>
          <w:lang w:val="id-ID"/>
        </w:rPr>
        <w:t>nusyuz</w:t>
      </w:r>
      <w:r w:rsidRPr="00543E2D">
        <w:rPr>
          <w:rStyle w:val="FootnoteReference"/>
        </w:rPr>
        <w:footnoteReference w:id="30"/>
      </w:r>
    </w:p>
    <w:p w:rsidR="003F235E" w:rsidRPr="004F5F4E" w:rsidRDefault="007F4BDA" w:rsidP="003F235E">
      <w:pPr>
        <w:spacing w:line="500" w:lineRule="exact"/>
        <w:ind w:left="720" w:firstLine="720"/>
        <w:jc w:val="lowKashida"/>
        <w:rPr>
          <w:lang w:val="id-ID"/>
        </w:rPr>
      </w:pPr>
      <w:r w:rsidRPr="004F5F4E">
        <w:rPr>
          <w:lang w:val="id-ID"/>
        </w:rPr>
        <w:t xml:space="preserve">Dalam Pasal selanjutnya dijelaskan bahwa selama isteri dalam keadaan </w:t>
      </w:r>
      <w:r w:rsidRPr="004F5F4E">
        <w:rPr>
          <w:rFonts w:ascii="Times New Arabic" w:hAnsi="Times New Arabic"/>
          <w:i/>
          <w:iCs/>
          <w:lang w:val="id-ID"/>
        </w:rPr>
        <w:t xml:space="preserve">nusyuz </w:t>
      </w:r>
      <w:r w:rsidRPr="004F5F4E">
        <w:rPr>
          <w:lang w:val="id-ID"/>
        </w:rPr>
        <w:t xml:space="preserve">kewajiban suami terhadap isterinya seperti yang telah disebutkan di atas gugur kecuali yang berkaitan dengan hal-hal untuk kepentingan anaknya.Dan untuk kewajiban suami terhadap isteri </w:t>
      </w:r>
      <w:r w:rsidRPr="004F5F4E">
        <w:rPr>
          <w:rFonts w:ascii="Times New Arabic" w:hAnsi="Times New Arabic"/>
          <w:i/>
          <w:iCs/>
          <w:lang w:val="id-ID"/>
        </w:rPr>
        <w:t>nusyuz</w:t>
      </w:r>
      <w:r w:rsidRPr="004F5F4E">
        <w:rPr>
          <w:lang w:val="id-ID"/>
        </w:rPr>
        <w:t xml:space="preserve"> yang gugur tersebut belaku kembali jika isteri sudah tidak </w:t>
      </w:r>
      <w:r w:rsidRPr="004F5F4E">
        <w:rPr>
          <w:rFonts w:ascii="Times New Arabic" w:hAnsi="Times New Arabic"/>
          <w:i/>
          <w:iCs/>
          <w:lang w:val="id-ID"/>
        </w:rPr>
        <w:t>nusyuz</w:t>
      </w:r>
      <w:r w:rsidRPr="004F5F4E">
        <w:rPr>
          <w:lang w:val="id-ID"/>
        </w:rPr>
        <w:t xml:space="preserve"> lagi.</w:t>
      </w:r>
      <w:r w:rsidRPr="00543E2D">
        <w:rPr>
          <w:rStyle w:val="FootnoteReference"/>
        </w:rPr>
        <w:footnoteReference w:id="31"/>
      </w:r>
    </w:p>
    <w:p w:rsidR="003F235E" w:rsidRDefault="007F4BDA" w:rsidP="003F235E">
      <w:pPr>
        <w:spacing w:line="500" w:lineRule="exact"/>
        <w:ind w:left="720" w:firstLine="720"/>
        <w:jc w:val="lowKashida"/>
      </w:pPr>
      <w:r w:rsidRPr="004F5F4E">
        <w:rPr>
          <w:lang w:val="id-ID"/>
        </w:rPr>
        <w:t xml:space="preserve">Begitu pula akibat hukum yang berupa perceraian, hal ini dimungkinkan jika kedua belah pihak sudah tidak mungkin untuk berdamai lagi, hal ini juga sesuai dengan ketentuan yang ada dalam Undang-undang Nomor 1 tahun 1974 tentang hukum perkawinan pada Pasal 39 Ayat (2) jo. </w:t>
      </w:r>
      <w:r w:rsidRPr="00543E2D">
        <w:t>Inpres Nomor 1 tahun 1991 tentang Kompilasi Hukum Islam dalam Pasal 116 huru f.</w:t>
      </w:r>
    </w:p>
    <w:p w:rsidR="003F235E" w:rsidRDefault="007F4BDA" w:rsidP="003F235E">
      <w:pPr>
        <w:spacing w:line="500" w:lineRule="exact"/>
        <w:ind w:left="720" w:firstLine="720"/>
        <w:jc w:val="lowKashida"/>
      </w:pPr>
      <w:r w:rsidRPr="00543E2D">
        <w:t xml:space="preserve">Dalam hal akibat hukum bagi </w:t>
      </w:r>
      <w:r w:rsidRPr="00543E2D">
        <w:rPr>
          <w:rFonts w:ascii="Times New Arabic" w:hAnsi="Times New Arabic"/>
          <w:i/>
          <w:iCs/>
        </w:rPr>
        <w:t>nusyuz</w:t>
      </w:r>
      <w:r w:rsidRPr="00543E2D">
        <w:rPr>
          <w:rFonts w:ascii="Times New Arabic" w:hAnsi="Times New Arabic"/>
        </w:rPr>
        <w:t>nya</w:t>
      </w:r>
      <w:r w:rsidRPr="00543E2D">
        <w:t xml:space="preserve"> suami maka tidak ada ketentuan yang secara jelas mengatur tentang kewenangan atau hak isteri dalam menindak suaminya tersebut.Walaupun seorang isteri memiliki kewenangan untuk ikut menanggulangi kekeliruan dan penyelewengan yang dilakukan suami, hal itu sebatas tanggung jawabnya sebagai seorang isteri. Seorang isteri tidak dibenarkan menjalankan atau menerapkan metode pengacuhan atau pemukulan seperti yang dilakukan suami kepadanya  saat ia </w:t>
      </w:r>
      <w:r w:rsidRPr="00543E2D">
        <w:rPr>
          <w:rFonts w:ascii="Times New Arabic" w:hAnsi="Times New Arabic"/>
          <w:i/>
          <w:iCs/>
        </w:rPr>
        <w:t>nusyuz</w:t>
      </w:r>
      <w:r w:rsidRPr="00543E2D">
        <w:t>, hal ini disebabkan oleh karena adanya perbedaan qodrat antara laki-laki dan wanita, serta lemahnya isteri untuk dapat menanggulangi suami.</w:t>
      </w:r>
      <w:r w:rsidRPr="00543E2D">
        <w:rPr>
          <w:rStyle w:val="FootnoteReference"/>
        </w:rPr>
        <w:footnoteReference w:id="32"/>
      </w:r>
    </w:p>
    <w:p w:rsidR="003F235E" w:rsidRDefault="007F4BDA" w:rsidP="003F235E">
      <w:pPr>
        <w:spacing w:line="500" w:lineRule="exact"/>
        <w:ind w:left="720" w:firstLine="720"/>
        <w:jc w:val="lowKashida"/>
      </w:pPr>
      <w:r w:rsidRPr="00543E2D">
        <w:lastRenderedPageBreak/>
        <w:t xml:space="preserve">Seorang isteri dalam menyikapi </w:t>
      </w:r>
      <w:r w:rsidRPr="00543E2D">
        <w:rPr>
          <w:rFonts w:ascii="Times New Arabic" w:hAnsi="Times New Arabic"/>
          <w:i/>
          <w:iCs/>
        </w:rPr>
        <w:t>nusyuz</w:t>
      </w:r>
      <w:r w:rsidRPr="00543E2D">
        <w:t>nya suami hendaknya berusaha sekuat tenaga untuk menasihati suaminya akan tanggung jawabnya atas isteri dan anak-anaknya. Hal ini tentu saja ia lakukan dengan cara musyawarah secara damai dengan tutur kata lembut dan halus. Tidak lupa ia juga harus mengintropeksi diri atas segala kemungkinan dirinya sebagai pemicu suaminya dalam melakukan penyimpangan tersebut.</w:t>
      </w:r>
      <w:r w:rsidRPr="00543E2D">
        <w:rPr>
          <w:rStyle w:val="FootnoteReference"/>
        </w:rPr>
        <w:footnoteReference w:id="33"/>
      </w:r>
    </w:p>
    <w:p w:rsidR="00092FAB" w:rsidRDefault="007F4BDA" w:rsidP="006E1506">
      <w:pPr>
        <w:spacing w:line="500" w:lineRule="exact"/>
        <w:ind w:left="720" w:firstLine="720"/>
        <w:jc w:val="lowKashida"/>
        <w:rPr>
          <w:lang w:val="id-ID"/>
        </w:rPr>
      </w:pPr>
      <w:r w:rsidRPr="00543E2D">
        <w:t xml:space="preserve">Apabila dengan jalan musyawarah tidak tercapai perdamaian juga, maka menurut imam Malik sebagaimana dikutip oleh Nurjannah Ismail isteri boleh mengadukan suaminya kepada hakim (pengadilan). Hakimlah yang akan memberikan nasihat kepada sang suami. Apabila tidak dapat dinasihati, hakim dapat melarang sang isteri untuk taat kepada sang suami, tetapi suami tetap wajib memberi nafkah. Hakim juga membolehkan sang isteri untuk pisah ranjang, bahkan tidak kembali ke rumah suaminya. Jika dengan cara demikian pun, sang suami belum sadar juga, maka hakim dapat menjatuhkan hukuman pukulan kepada sang suami. Setelah pelaksanaan hukuman tersebut, sang suami belum juga memperbaiki diri, maka hakim boleh memutuskan perceraian dintara keduanya jika isteri menginginkannya. Pendapat imam Malik ini seimbang dengan sikap yang harus diambil atau ditempuh oleh suami saat menghadapi isteri </w:t>
      </w:r>
      <w:r w:rsidRPr="00543E2D">
        <w:rPr>
          <w:rFonts w:ascii="Times New Arabic" w:hAnsi="Times New Arabic"/>
          <w:i/>
          <w:iCs/>
        </w:rPr>
        <w:t>nusyuz</w:t>
      </w:r>
      <w:r w:rsidRPr="00543E2D">
        <w:t xml:space="preserve">, sebagaimana dijelaskan dalam surat </w:t>
      </w:r>
      <w:r w:rsidRPr="00543E2D">
        <w:rPr>
          <w:rFonts w:ascii="Times New Arabic" w:hAnsi="Times New Arabic"/>
        </w:rPr>
        <w:t>an-nisa’</w:t>
      </w:r>
      <w:r w:rsidRPr="00543E2D">
        <w:t xml:space="preserve"> (4): 34, bedanya dalam kasus </w:t>
      </w:r>
      <w:r w:rsidRPr="00543E2D">
        <w:rPr>
          <w:rFonts w:ascii="Times New Arabic" w:hAnsi="Times New Arabic"/>
          <w:i/>
          <w:iCs/>
        </w:rPr>
        <w:t>nusyuz</w:t>
      </w:r>
      <w:r w:rsidRPr="00543E2D">
        <w:t>nya suami ini yang bertindak adalah hakim.</w:t>
      </w:r>
      <w:r w:rsidRPr="00543E2D">
        <w:rPr>
          <w:rStyle w:val="FootnoteReference"/>
        </w:rPr>
        <w:footnoteReference w:id="34"/>
      </w:r>
    </w:p>
    <w:p w:rsidR="00092FAB" w:rsidRPr="006E1506" w:rsidRDefault="00092FAB" w:rsidP="006E1506">
      <w:pPr>
        <w:spacing w:line="500" w:lineRule="exact"/>
        <w:ind w:left="720" w:firstLine="720"/>
        <w:jc w:val="lowKashida"/>
        <w:rPr>
          <w:lang w:val="id-ID"/>
        </w:rPr>
      </w:pPr>
    </w:p>
    <w:p w:rsidR="007F4BDA" w:rsidRPr="004A0899" w:rsidRDefault="00AE5A60" w:rsidP="004A0899">
      <w:pPr>
        <w:pStyle w:val="ListParagraph"/>
        <w:numPr>
          <w:ilvl w:val="1"/>
          <w:numId w:val="1"/>
        </w:numPr>
        <w:tabs>
          <w:tab w:val="clear" w:pos="1800"/>
        </w:tabs>
        <w:spacing w:line="480" w:lineRule="auto"/>
        <w:ind w:left="360"/>
        <w:jc w:val="lowKashida"/>
        <w:rPr>
          <w:b/>
        </w:rPr>
      </w:pPr>
      <w:r>
        <w:rPr>
          <w:b/>
        </w:rPr>
        <w:lastRenderedPageBreak/>
        <w:t>Telaah Pustaka</w:t>
      </w:r>
    </w:p>
    <w:p w:rsidR="007F4BDA" w:rsidRDefault="007F4BDA" w:rsidP="007F4BDA">
      <w:pPr>
        <w:spacing w:line="480" w:lineRule="auto"/>
        <w:ind w:left="360" w:firstLine="720"/>
        <w:jc w:val="both"/>
      </w:pPr>
      <w:r>
        <w:t xml:space="preserve">Sejauh telaah yang telah dilakukan oleh penyusun atas berbagai karya tulis baik berupa buku-buku ilmiah, skripsi, jurnal, ataupun yang lain, telah banyak ditemukan karya-karya yang membahas persoalan </w:t>
      </w:r>
      <w:r>
        <w:rPr>
          <w:rFonts w:ascii="Times New Arabic" w:hAnsi="Times New Arabic"/>
          <w:i/>
          <w:iCs/>
        </w:rPr>
        <w:t>nusyuz</w:t>
      </w:r>
      <w:r>
        <w:t xml:space="preserve">, hal ini tentu saja karena tema </w:t>
      </w:r>
      <w:r>
        <w:rPr>
          <w:rFonts w:ascii="Times New Arabic" w:hAnsi="Times New Arabic"/>
          <w:i/>
          <w:iCs/>
        </w:rPr>
        <w:t>nusyuz</w:t>
      </w:r>
      <w:r>
        <w:t xml:space="preserve">sendiri termasuk dalam kategori persoalan klasik.Namun dalam mencari referensi yang membicarakan tentang batas-batas hak suami dalam memperlakukan isterinya saat </w:t>
      </w:r>
      <w:r>
        <w:rPr>
          <w:rFonts w:ascii="Times New Arabic" w:hAnsi="Times New Arabic"/>
          <w:i/>
          <w:iCs/>
        </w:rPr>
        <w:t>nusyuz</w:t>
      </w:r>
      <w:r>
        <w:t xml:space="preserve"> dan mengkaitkannya dengan kemungkinan sanksi pidananya maka penyusun belum menemukan adanya sebuah karya yang membahasnya dalam satu bahasan secara khusus.Hal ini mungkin karena kedua persoalan tersebut berasal dari dua wilayah hukum yang berbeda, yang satu dari wilayah hukum agama yang bersifat privat sedangkan yang satunya dari wilayah hukum negara yang bersifat publik.</w:t>
      </w:r>
    </w:p>
    <w:p w:rsidR="007F4BDA" w:rsidRDefault="007F4BDA" w:rsidP="007F4BDA">
      <w:pPr>
        <w:spacing w:line="480" w:lineRule="auto"/>
        <w:ind w:left="360" w:firstLine="720"/>
        <w:jc w:val="both"/>
      </w:pPr>
      <w:r>
        <w:t xml:space="preserve">Di antara telaah yang sudah dilakukan penyusun terhadap karya-karya yang terbatas itu terdapat beberapa karya yang relevan dengan penelitian ini yang mencoba mengkorelasikan kedua persoalan tersebut, yaitu karya-karya yang mencoba mengupas persoalan </w:t>
      </w:r>
      <w:r>
        <w:rPr>
          <w:rFonts w:ascii="Times New Arabic" w:hAnsi="Times New Arabic"/>
          <w:i/>
          <w:iCs/>
        </w:rPr>
        <w:t>nusyuz</w:t>
      </w:r>
      <w:r>
        <w:t>sebagai bagian isu-isu wacana keperempuanan kontemporer baik itu yang berup</w:t>
      </w:r>
      <w:r w:rsidR="00B7193D">
        <w:t>a refleksi pemikiran dalam meng</w:t>
      </w:r>
      <w:r>
        <w:t>ukuhkan pemahaman yang telah ada ataupun upaya untuk mendiskontruksi</w:t>
      </w:r>
      <w:r w:rsidR="00B7193D">
        <w:t>kan</w:t>
      </w:r>
      <w:r w:rsidR="00CA13F3">
        <w:t>nya. Dan di</w:t>
      </w:r>
      <w:r>
        <w:t>antara karya</w:t>
      </w:r>
      <w:r w:rsidR="00CA13F3">
        <w:t>-karya yang dapat disebutkan di</w:t>
      </w:r>
      <w:r>
        <w:t xml:space="preserve">sini adalah: </w:t>
      </w:r>
    </w:p>
    <w:p w:rsidR="007F4BDA" w:rsidRDefault="007F4BDA" w:rsidP="007F4BDA">
      <w:pPr>
        <w:spacing w:line="480" w:lineRule="auto"/>
        <w:ind w:left="360" w:firstLine="720"/>
        <w:jc w:val="both"/>
        <w:rPr>
          <w:i/>
          <w:iCs/>
        </w:rPr>
      </w:pPr>
      <w:r>
        <w:rPr>
          <w:i/>
        </w:rPr>
        <w:t xml:space="preserve">Wajah Baru Relasi Suami-Isteri; Telaah Kitab </w:t>
      </w:r>
      <w:r>
        <w:rPr>
          <w:rFonts w:ascii="Times New Arabic" w:hAnsi="Times New Arabic"/>
          <w:i/>
        </w:rPr>
        <w:t>‘Uqud al-Lujjayn,</w:t>
      </w:r>
      <w:r>
        <w:t xml:space="preserve"> yang dikeluarkan oleh Forum Kajian Kitab Kuning (FK3).Buku ini merupakan sebuah </w:t>
      </w:r>
      <w:r>
        <w:lastRenderedPageBreak/>
        <w:t xml:space="preserve">telaah secara kritis terhadap kitab </w:t>
      </w:r>
      <w:r>
        <w:rPr>
          <w:rFonts w:ascii="Times New Arabic" w:hAnsi="Times New Arabic"/>
          <w:i/>
        </w:rPr>
        <w:t>‘Uqud al-Lujjayn</w:t>
      </w:r>
      <w:r>
        <w:t xml:space="preserve"> karangan </w:t>
      </w:r>
      <w:r>
        <w:rPr>
          <w:rFonts w:ascii="Times New Arabic" w:hAnsi="Times New Arabic"/>
        </w:rPr>
        <w:t>syaikh an-Nawawi</w:t>
      </w:r>
      <w:r>
        <w:t xml:space="preserve"> yang sangat popular di kalangan pesantren. Dalam membicarakan hak-hak suami ketika memperlakukan isterinya yang </w:t>
      </w:r>
      <w:r>
        <w:rPr>
          <w:rFonts w:ascii="Times New Arabic" w:hAnsi="Times New Arabic"/>
          <w:i/>
          <w:iCs/>
        </w:rPr>
        <w:t>nusyuz</w:t>
      </w:r>
      <w:r>
        <w:t xml:space="preserve">, pembahasannya diawali dengan menjelaskan makna </w:t>
      </w:r>
      <w:smartTag w:uri="urn:schemas-microsoft-com:office:smarttags" w:element="City">
        <w:smartTag w:uri="urn:schemas-microsoft-com:office:smarttags" w:element="place">
          <w:r>
            <w:t>surat</w:t>
          </w:r>
        </w:smartTag>
      </w:smartTag>
      <w:r>
        <w:rPr>
          <w:rFonts w:ascii="Times New Arabic" w:hAnsi="Times New Arabic"/>
        </w:rPr>
        <w:t>al-Nisa’</w:t>
      </w:r>
      <w:r>
        <w:t xml:space="preserve"> (4):34. </w:t>
      </w:r>
      <w:r>
        <w:rPr>
          <w:i/>
          <w:iCs/>
        </w:rPr>
        <w:t xml:space="preserve">"Dan pisahlah dari tempat tidur mereka", </w:t>
      </w:r>
      <w:r>
        <w:t xml:space="preserve">maksudnya adalah para suami dianjurkan untuk meninggalkan para isteri dari tempat tidur mereka bukan menghindari berbicara dan memukul.Sebab, memisahkan diri dari tempat tidur memberi dampak yang jelas dalam mendidik wanita.Sedangkan kalimat </w:t>
      </w:r>
      <w:r>
        <w:rPr>
          <w:i/>
          <w:iCs/>
        </w:rPr>
        <w:t>"dan pukullah mereka"</w:t>
      </w:r>
      <w:r>
        <w:t xml:space="preserve">, maksudnya adalah wanita-wanita yang </w:t>
      </w:r>
      <w:r>
        <w:rPr>
          <w:rFonts w:ascii="Times New Arabic" w:hAnsi="Times New Arabic"/>
          <w:i/>
          <w:iCs/>
        </w:rPr>
        <w:t>nusyuz</w:t>
      </w:r>
      <w:r>
        <w:t>itu boleh dipukul dengan pukulan yang tidak membahayakan tubuh, hal itu dilakukan kalau memang membawa faedah.Jika tidak, maka tidak perlu melakukan pemukulan.Bahkan lebih baik jika suami memaafkan.</w:t>
      </w:r>
      <w:r>
        <w:rPr>
          <w:rStyle w:val="FootnoteReference"/>
        </w:rPr>
        <w:footnoteReference w:id="35"/>
      </w:r>
    </w:p>
    <w:p w:rsidR="007F4BDA" w:rsidRDefault="007F4BDA" w:rsidP="007F4BDA">
      <w:pPr>
        <w:spacing w:line="480" w:lineRule="auto"/>
        <w:ind w:left="360" w:firstLine="720"/>
        <w:jc w:val="both"/>
      </w:pPr>
      <w:r>
        <w:t>Sebuah skripsi hasil penelitian lapangan dengan judul, “</w:t>
      </w:r>
      <w:r>
        <w:rPr>
          <w:rFonts w:ascii="Times New Arabic" w:hAnsi="Times New Arabic"/>
          <w:i/>
          <w:iCs/>
        </w:rPr>
        <w:t>Nusyuz</w:t>
      </w:r>
      <w:r>
        <w:t xml:space="preserve"> Sebagai Alasan Penolakan Memberi Nafkah (Studi Analisis Terhadap Putusan PA. Seleman)” yang disusun oleh Isa Ansari. Setelah dilakukan penelitian ternyata dalam memutuskan persoalan </w:t>
      </w:r>
      <w:r>
        <w:rPr>
          <w:rFonts w:ascii="Times New Arabic" w:hAnsi="Times New Arabic"/>
          <w:i/>
          <w:iCs/>
        </w:rPr>
        <w:t>nusyuz</w:t>
      </w:r>
      <w:r>
        <w:t xml:space="preserve"> kreteria yang dipakai oleh PA. Sleman adalah sebagaimana yang ada dalam Hukum Islam serta penafsiran hakim terhadap prinsip-prinsip yang ada. Yaitu perbuatan isteri meminta cerai kepada suami tanpa ada </w:t>
      </w:r>
      <w:r>
        <w:rPr>
          <w:i/>
          <w:iCs/>
        </w:rPr>
        <w:t xml:space="preserve">uzur </w:t>
      </w:r>
      <w:r>
        <w:t xml:space="preserve">(alasan yang dibenarkan syar’i) dan isteri meninggalkan kediaman bersama tanpa izin dari suami serta tidak mau diajak tinggal di rumah kediaman bersama. Dan dalam membuktikan terjadinya </w:t>
      </w:r>
      <w:r>
        <w:rPr>
          <w:rFonts w:ascii="Times New Arabic" w:hAnsi="Times New Arabic"/>
          <w:i/>
          <w:iCs/>
        </w:rPr>
        <w:t>nusyuz</w:t>
      </w:r>
      <w:r>
        <w:t xml:space="preserve"> tersebut PA. Sleman mendasarkan pada alat bukti saksi-saksi, pengakuan dan alat bukti persangkaan, </w:t>
      </w:r>
      <w:r>
        <w:lastRenderedPageBreak/>
        <w:t xml:space="preserve">hal ini sebagaimana disebut dalam </w:t>
      </w:r>
      <w:smartTag w:uri="urn:schemas-microsoft-com:office:smarttags" w:element="City">
        <w:smartTag w:uri="urn:schemas-microsoft-com:office:smarttags" w:element="place">
          <w:r>
            <w:t>surat</w:t>
          </w:r>
        </w:smartTag>
      </w:smartTag>
      <w:r>
        <w:t xml:space="preserve"> keputusanya No. 23 / pdt.G / 94 / PA. Slm. No. 185 / pdt.G / 94 / PA. Slm. Dan No. 197 / pdt.G / 94 / PA. Slm.</w:t>
      </w:r>
      <w:r>
        <w:rPr>
          <w:rStyle w:val="FootnoteReference"/>
        </w:rPr>
        <w:footnoteReference w:id="36"/>
      </w:r>
    </w:p>
    <w:p w:rsidR="007F4BDA" w:rsidRDefault="007F4BDA" w:rsidP="007F4BDA">
      <w:pPr>
        <w:spacing w:line="480" w:lineRule="auto"/>
        <w:ind w:left="360" w:firstLine="720"/>
        <w:jc w:val="both"/>
      </w:pPr>
      <w:r>
        <w:t xml:space="preserve">Skripsi tentang “Korelasi </w:t>
      </w:r>
      <w:r>
        <w:rPr>
          <w:rFonts w:ascii="Times New Arabic" w:hAnsi="Times New Arabic"/>
          <w:i/>
          <w:iCs/>
        </w:rPr>
        <w:t>nusyuz</w:t>
      </w:r>
      <w:r>
        <w:t xml:space="preserve"> dengan Kekerasan Terhadap Isteri, Studi Kasus di Rifka Annisa’ Women’s Crisis Center Yogyakarta” yang disusun oleh Wahid Hasyim. Sebagai hasil kesimpulan dari penelitiannya ia menyatakan bahwa </w:t>
      </w:r>
      <w:r>
        <w:rPr>
          <w:rFonts w:ascii="Times New Arabic" w:hAnsi="Times New Arabic"/>
          <w:i/>
          <w:iCs/>
        </w:rPr>
        <w:t>nusyuz</w:t>
      </w:r>
      <w:r>
        <w:t xml:space="preserve"> bukan merupakan sebab tunggal dan mandiri dari kekerasan rumah tangga, tetapi merupakan rangkaian peristiwa yang rumit dalam lingkaran kekerasan terhadap isteri. Di satu sisi </w:t>
      </w:r>
      <w:r>
        <w:rPr>
          <w:rFonts w:ascii="Times New Arabic" w:hAnsi="Times New Arabic"/>
          <w:i/>
          <w:iCs/>
        </w:rPr>
        <w:t>nusyuz</w:t>
      </w:r>
      <w:r>
        <w:t xml:space="preserve"> menjadi sebab pemicu kekerasan tetapi di sisi yang lain </w:t>
      </w:r>
      <w:r>
        <w:rPr>
          <w:rFonts w:ascii="Times New Arabic" w:hAnsi="Times New Arabic"/>
          <w:i/>
          <w:iCs/>
        </w:rPr>
        <w:t>nusyuz</w:t>
      </w:r>
      <w:r>
        <w:t xml:space="preserve">adalah respon isteri terhadap tindak kekerasan suami. Dengan kata lain, kekerasan dan </w:t>
      </w:r>
      <w:r>
        <w:rPr>
          <w:rFonts w:ascii="Times New Arabic" w:hAnsi="Times New Arabic"/>
          <w:i/>
          <w:iCs/>
        </w:rPr>
        <w:t>nusyuz</w:t>
      </w:r>
      <w:r>
        <w:t xml:space="preserve"> telah menjadi cara dan pola komunikasi antara suami isteri.</w:t>
      </w:r>
      <w:r>
        <w:rPr>
          <w:rStyle w:val="FootnoteReference"/>
        </w:rPr>
        <w:footnoteReference w:id="37"/>
      </w:r>
    </w:p>
    <w:p w:rsidR="007F4BDA" w:rsidRDefault="007F4BDA" w:rsidP="007F4BDA">
      <w:pPr>
        <w:spacing w:line="480" w:lineRule="auto"/>
        <w:ind w:left="360" w:firstLine="720"/>
        <w:jc w:val="both"/>
      </w:pPr>
      <w:r>
        <w:t>Skripsi studi tokoh, “</w:t>
      </w:r>
      <w:r>
        <w:rPr>
          <w:rFonts w:ascii="Times New Arabic" w:hAnsi="Times New Arabic"/>
          <w:i/>
          <w:iCs/>
        </w:rPr>
        <w:t>Nusyuz</w:t>
      </w:r>
      <w:r>
        <w:t xml:space="preserve"> Dalam Pandangan Amina Wadud Dan Relasinya Dengan Upaya Penghapusan Kekerasan Terhadap Isteri”yang disusun oleh Nailis Sa’adah. Pada bagian akhir pembahasannya penyusun mengemukakan kesimpulannya tentang pandangan Amina Wadud tentang </w:t>
      </w:r>
      <w:r>
        <w:rPr>
          <w:rFonts w:ascii="Times New Arabic" w:hAnsi="Times New Arabic"/>
          <w:i/>
          <w:iCs/>
        </w:rPr>
        <w:t>nusyuz</w:t>
      </w:r>
      <w:r>
        <w:t xml:space="preserve"> yang lakhir dari penafsirannya terhadap ayat 34 surat an-Nisa’. Amina wadud mendefinisikan </w:t>
      </w:r>
      <w:r>
        <w:rPr>
          <w:rFonts w:ascii="Times New Arabic" w:hAnsi="Times New Arabic"/>
          <w:i/>
          <w:iCs/>
        </w:rPr>
        <w:t>nusyuz</w:t>
      </w:r>
      <w:r>
        <w:t xml:space="preserve"> tidak lain hanya sebatas pengertian gangguan keharmonisan rumah tangga, dan bukan kedurhakaan isteri terhadap suami sebagaimana pendapat para mufassir pada umumnya. Karena menurutnya </w:t>
      </w:r>
      <w:r>
        <w:rPr>
          <w:rFonts w:ascii="Times New Arabic" w:hAnsi="Times New Arabic"/>
          <w:i/>
          <w:iCs/>
        </w:rPr>
        <w:t>nusyuz</w:t>
      </w:r>
      <w:r>
        <w:t xml:space="preserve"> tidak hanya disebabkan oleh pihak isteri saja, tetapi juga pihak suami. Oleh karena itu menurut Amina Wadud usaha </w:t>
      </w:r>
      <w:r>
        <w:lastRenderedPageBreak/>
        <w:t>penyelesaianya pun harus ditempuh secara harmonis pula, tidak boleh dengan kekerasan.</w:t>
      </w:r>
      <w:r>
        <w:rPr>
          <w:rStyle w:val="FootnoteReference"/>
        </w:rPr>
        <w:footnoteReference w:id="38"/>
      </w:r>
    </w:p>
    <w:p w:rsidR="007F4BDA" w:rsidRDefault="007F4BDA" w:rsidP="007F4BDA">
      <w:pPr>
        <w:spacing w:line="480" w:lineRule="auto"/>
        <w:ind w:left="360" w:firstLine="720"/>
        <w:jc w:val="both"/>
      </w:pPr>
      <w:r>
        <w:t xml:space="preserve">Skripsi studi tokoh dengan judul “Studi Terhadap Ibn Hazm Tentang Nafkah Isteri </w:t>
      </w:r>
      <w:r>
        <w:rPr>
          <w:rFonts w:ascii="Times New Arabic" w:hAnsi="Times New Arabic"/>
          <w:i/>
          <w:iCs/>
        </w:rPr>
        <w:t>Nusyuz</w:t>
      </w:r>
      <w:r>
        <w:rPr>
          <w:i/>
          <w:iCs/>
        </w:rPr>
        <w:t>”,</w:t>
      </w:r>
      <w:r>
        <w:t xml:space="preserve"> yang disusun oleh Lindra Darnela. Sebagai sebuah kesimpulan atas studinya terhadap Ibn Hazm penyusun memberikan kesimpulannya bahwa menurut Ibn Hazm Suami berkewajiban memberi nafkah kepada isterinya meskipun isterinya itu dalam keadaan </w:t>
      </w:r>
      <w:r>
        <w:rPr>
          <w:rFonts w:ascii="Times New Arabic" w:hAnsi="Times New Arabic"/>
          <w:i/>
          <w:iCs/>
        </w:rPr>
        <w:t>nusyuz</w:t>
      </w:r>
      <w:r>
        <w:t>. Kerena menurut Ibn Hazm ukuran kewajib</w:t>
      </w:r>
      <w:r w:rsidR="00CA13F3">
        <w:t>an suami dalam memberikan nafkah</w:t>
      </w:r>
      <w:r>
        <w:t xml:space="preserve"> kepada isterinya itu adalah karena telah terjadinya akad nikah semata, jadi selama ikatan perkawinan itu masih ada, suami masih tetap wajib memberikan nafkah kepada isterinya itu dalam keadaan apa pun.</w:t>
      </w:r>
      <w:r>
        <w:rPr>
          <w:rStyle w:val="FootnoteReference"/>
        </w:rPr>
        <w:footnoteReference w:id="39"/>
      </w:r>
    </w:p>
    <w:p w:rsidR="007F4BDA" w:rsidRDefault="007F4BDA" w:rsidP="007F4BDA">
      <w:pPr>
        <w:spacing w:line="480" w:lineRule="auto"/>
        <w:ind w:left="360" w:firstLine="720"/>
        <w:jc w:val="both"/>
      </w:pPr>
      <w:r>
        <w:rPr>
          <w:i/>
          <w:iCs/>
        </w:rPr>
        <w:t>Hal-Hal Yang Tak Terpikirkan, tentang isu-isu keperempuanan dalam Islam,</w:t>
      </w:r>
      <w:r>
        <w:t xml:space="preserve"> karya Syafiq Hasyim. Di sini banyak masalah-masalah keperempuanan  yang telah dikonsepsikan pada masa klasik dicoba untuk diurai kembali (dekontruksi) sebagai langkah awal dalam upaya memperjuangkan nasib perempuan baik dalam wilayah publik maupun domestik. Dalam wilayah domestik, salah satunya adalah dengan usaha menafsirkan kembali konsep </w:t>
      </w:r>
      <w:r>
        <w:rPr>
          <w:rFonts w:ascii="Times New Arabic" w:hAnsi="Times New Arabic"/>
          <w:i/>
          <w:iCs/>
        </w:rPr>
        <w:t>nusyuz</w:t>
      </w:r>
      <w:r>
        <w:t xml:space="preserve">yang selama ini lebih mengarah pada pengukuhan otoritas kaum laki-laki dan subordinasi kaum perempuan dalam rumah tangga. Fiqh menurutnya tampak hanya mempertimbangkan kepentingan laki-laki sehingga kedudukan perempuan </w:t>
      </w:r>
      <w:r>
        <w:lastRenderedPageBreak/>
        <w:t xml:space="preserve">dalam hal ini sangat lemah. Untuk itu dalam memahami persoalan </w:t>
      </w:r>
      <w:r>
        <w:rPr>
          <w:rFonts w:ascii="Times New Arabic" w:hAnsi="Times New Arabic"/>
          <w:i/>
          <w:iCs/>
        </w:rPr>
        <w:t>nusyuz</w:t>
      </w:r>
      <w:r>
        <w:t xml:space="preserve"> menurutnya harus mempertimbangkan beberapa hal. </w:t>
      </w:r>
      <w:r>
        <w:rPr>
          <w:i/>
          <w:iCs/>
        </w:rPr>
        <w:t>Pertama</w:t>
      </w:r>
      <w:r>
        <w:t xml:space="preserve">, prinsip keadilan. </w:t>
      </w:r>
      <w:r>
        <w:rPr>
          <w:i/>
          <w:iCs/>
        </w:rPr>
        <w:t>Kedua</w:t>
      </w:r>
      <w:r>
        <w:t xml:space="preserve">, prinsip </w:t>
      </w:r>
      <w:r>
        <w:rPr>
          <w:rFonts w:ascii="Times New Arabic" w:hAnsi="Times New Arabic"/>
          <w:i/>
          <w:iCs/>
        </w:rPr>
        <w:t>Mu'asyarah bil Ma’ruf</w:t>
      </w:r>
      <w:r>
        <w:t xml:space="preserve">. Kedua prinsip ini pada dasarnya merupakan prinsip umum dari keseluruhan tata hubungan suami isteri. Baik isteri maupun suami, masing-masing harus saling mempergauli secara baik. Apabila prinsip ini benar-benar dilaksanakan, kecil kemungkinan akan terjadinya </w:t>
      </w:r>
      <w:r>
        <w:rPr>
          <w:rFonts w:ascii="Times New Arabic" w:hAnsi="Times New Arabic"/>
          <w:i/>
          <w:iCs/>
        </w:rPr>
        <w:t>nusyuz</w:t>
      </w:r>
      <w:r>
        <w:rPr>
          <w:rFonts w:ascii="Times New Arabic" w:hAnsi="Times New Arabic"/>
        </w:rPr>
        <w:t>.</w:t>
      </w:r>
    </w:p>
    <w:p w:rsidR="007F4BDA" w:rsidRDefault="007F4BDA" w:rsidP="007F4BDA">
      <w:pPr>
        <w:spacing w:line="480" w:lineRule="auto"/>
        <w:ind w:left="360" w:firstLine="720"/>
        <w:jc w:val="both"/>
      </w:pPr>
      <w:r>
        <w:rPr>
          <w:i/>
          <w:iCs/>
        </w:rPr>
        <w:t>Perempuan Kekerasan dan Hukum</w:t>
      </w:r>
      <w:r>
        <w:t>. Buku yang ditulis oleh Aroma Elmina Martha ini diawali dengan uraian panjang tentang fenomena kekerasan terhadap perempuan termasuk kekerasan dalam wilayah domestik atau rumah tangga. Walaupun istilah kekerasan terhadap perempuan sendiri tidak digunakan dalam rumusan hukum. KUHP telah menempatkan masalah kekerasan terhadap perempuan sebagian besar dalam bab kejahatan dan kesusilaan yang termuat dalam bab XIV. Begitu pula pasal 356 tentang penganiayaan terhadap anggota keluarga termasuk terhadap isteri dimasukkan dalam bab penganiayaan.</w:t>
      </w:r>
    </w:p>
    <w:p w:rsidR="007F4BDA" w:rsidRDefault="007F4BDA" w:rsidP="007F4BDA">
      <w:pPr>
        <w:spacing w:line="480" w:lineRule="auto"/>
        <w:ind w:left="360" w:firstLine="720"/>
        <w:jc w:val="both"/>
        <w:rPr>
          <w:i/>
          <w:iCs/>
        </w:rPr>
      </w:pPr>
      <w:r>
        <w:t>Pasal-pasal 351, 354 dan 355, yang semuanya mengatur tentang penganiayaan, justru hukumnya diperberat dengan menambah sepertiganya, jika kejahatan tersebut dilakukan kepada ibunya, bapaknya, ist</w:t>
      </w:r>
      <w:r w:rsidR="00CC4082">
        <w:t>eri (suami) atau anak. Secara s</w:t>
      </w:r>
      <w:r>
        <w:t xml:space="preserve">pesifik, </w:t>
      </w:r>
      <w:r>
        <w:rPr>
          <w:i/>
          <w:iCs/>
        </w:rPr>
        <w:t>domestic violence</w:t>
      </w:r>
      <w:r>
        <w:t xml:space="preserve"> diletakkan sebagai unsur yang memberatkan (</w:t>
      </w:r>
      <w:r>
        <w:rPr>
          <w:i/>
          <w:iCs/>
        </w:rPr>
        <w:t>aggravating circumtances</w:t>
      </w:r>
      <w:r>
        <w:t xml:space="preserve">). Dan dalam KUHP sendiri tindak kekerasan yang telah diatur lebih banyak merupakan tindak kekerasan fisik, seperti pornografi, perkosaan, perbuatan cabul, penganiayaan, pembunuhan dan penculikan. Lebih </w:t>
      </w:r>
      <w:bookmarkStart w:id="0" w:name="_GoBack"/>
      <w:bookmarkEnd w:id="0"/>
      <w:r>
        <w:t xml:space="preserve">lanjut lagi dijelaskan, bahwa sejumlah tindak kekerasan fisik lainnya tidak diberi </w:t>
      </w:r>
      <w:r>
        <w:lastRenderedPageBreak/>
        <w:t xml:space="preserve">sanksi pidana, dan akibatnya adalah walaupun terjadi viktimisasi terhadap perempuan, tidak dilakukan tindakan hukum apa pun terhadap perempuan, misalnya </w:t>
      </w:r>
      <w:r>
        <w:rPr>
          <w:i/>
          <w:iCs/>
        </w:rPr>
        <w:t>incest, marital rape dan sexual harrasment.</w:t>
      </w:r>
      <w:r>
        <w:rPr>
          <w:rStyle w:val="FootnoteReference"/>
          <w:i/>
          <w:iCs/>
        </w:rPr>
        <w:footnoteReference w:id="40"/>
      </w:r>
    </w:p>
    <w:p w:rsidR="00973524" w:rsidRDefault="00973524" w:rsidP="007F4BDA"/>
    <w:sectPr w:rsidR="00973524" w:rsidSect="00391CB8">
      <w:headerReference w:type="default" r:id="rId8"/>
      <w:pgSz w:w="12240" w:h="15840"/>
      <w:pgMar w:top="2250" w:right="1710" w:bottom="1440" w:left="2160"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FAC" w:rsidRDefault="00A21FAC" w:rsidP="007F4BDA">
      <w:r>
        <w:separator/>
      </w:r>
    </w:p>
  </w:endnote>
  <w:endnote w:type="continuationSeparator" w:id="1">
    <w:p w:rsidR="00A21FAC" w:rsidRDefault="00A21FAC" w:rsidP="007F4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Arabic">
    <w:altName w:val="Times New Roman"/>
    <w:charset w:val="00"/>
    <w:family w:val="roman"/>
    <w:pitch w:val="variable"/>
    <w:sig w:usb0="00000003" w:usb1="00000000" w:usb2="00000000" w:usb3="00000000" w:csb0="00000001" w:csb1="00000000"/>
  </w:font>
  <w:font w:name="Arabic Transparent">
    <w:altName w:val="Times New Roman"/>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FAC" w:rsidRDefault="00A21FAC" w:rsidP="007F4BDA">
      <w:r>
        <w:separator/>
      </w:r>
    </w:p>
  </w:footnote>
  <w:footnote w:type="continuationSeparator" w:id="1">
    <w:p w:rsidR="00A21FAC" w:rsidRDefault="00A21FAC" w:rsidP="007F4BDA">
      <w:r>
        <w:continuationSeparator/>
      </w:r>
    </w:p>
  </w:footnote>
  <w:footnote w:id="2">
    <w:p w:rsidR="00AE5A60" w:rsidRPr="005E0358" w:rsidRDefault="00FE608F" w:rsidP="005E0358">
      <w:pPr>
        <w:pStyle w:val="NoSpacing"/>
        <w:jc w:val="both"/>
        <w:rPr>
          <w:sz w:val="18"/>
          <w:szCs w:val="18"/>
          <w:lang w:val="id-ID"/>
        </w:rPr>
      </w:pPr>
      <w:r w:rsidRPr="007A5CB8">
        <w:rPr>
          <w:sz w:val="18"/>
          <w:szCs w:val="18"/>
          <w:lang w:val="id-ID"/>
        </w:rPr>
        <w:tab/>
      </w:r>
      <w:r w:rsidRPr="007A5CB8">
        <w:rPr>
          <w:rStyle w:val="FootnoteReference"/>
          <w:sz w:val="18"/>
          <w:szCs w:val="18"/>
        </w:rPr>
        <w:footnoteRef/>
      </w:r>
      <w:r w:rsidRPr="007A5CB8">
        <w:rPr>
          <w:sz w:val="18"/>
          <w:szCs w:val="18"/>
        </w:rPr>
        <w:t xml:space="preserve"> Ibn Manzur, </w:t>
      </w:r>
      <w:r w:rsidRPr="007A5CB8">
        <w:rPr>
          <w:i/>
          <w:iCs/>
          <w:sz w:val="18"/>
          <w:szCs w:val="18"/>
        </w:rPr>
        <w:t>Lisan al-'Arabi</w:t>
      </w:r>
      <w:r w:rsidRPr="007A5CB8">
        <w:rPr>
          <w:sz w:val="18"/>
          <w:szCs w:val="18"/>
        </w:rPr>
        <w:t>, (Beirut: Dar Lisan al-'Arabi, ttp), III: 637.</w:t>
      </w:r>
    </w:p>
  </w:footnote>
  <w:footnote w:id="3">
    <w:p w:rsidR="00AE5A60" w:rsidRPr="005E0358" w:rsidRDefault="00FE608F" w:rsidP="005E0358">
      <w:pPr>
        <w:pStyle w:val="NoSpacing"/>
        <w:jc w:val="both"/>
        <w:rPr>
          <w:sz w:val="18"/>
          <w:szCs w:val="18"/>
          <w:rtl/>
          <w:lang w:val="id-ID"/>
        </w:rPr>
      </w:pPr>
      <w:r w:rsidRPr="007A5CB8">
        <w:rPr>
          <w:sz w:val="18"/>
          <w:szCs w:val="18"/>
          <w:lang w:val="id-ID"/>
        </w:rPr>
        <w:tab/>
      </w:r>
      <w:r w:rsidRPr="007A5CB8">
        <w:rPr>
          <w:rStyle w:val="FootnoteReference"/>
          <w:sz w:val="18"/>
          <w:szCs w:val="18"/>
        </w:rPr>
        <w:footnoteRef/>
      </w:r>
      <w:r w:rsidRPr="007A5CB8">
        <w:rPr>
          <w:sz w:val="18"/>
          <w:szCs w:val="18"/>
        </w:rPr>
        <w:t xml:space="preserve"> Muhammad 'Ali As-Sabuni, </w:t>
      </w:r>
      <w:r w:rsidRPr="007A5CB8">
        <w:rPr>
          <w:i/>
          <w:iCs/>
          <w:sz w:val="18"/>
          <w:szCs w:val="18"/>
        </w:rPr>
        <w:t>Rowaiul Bayan Tafsir Ayat al-Ahkam min al-Qur'an</w:t>
      </w:r>
      <w:r w:rsidRPr="007A5CB8">
        <w:rPr>
          <w:sz w:val="18"/>
          <w:szCs w:val="18"/>
        </w:rPr>
        <w:t>, (Jakarta: Dar al-Kutub al-Islamiyah, 2001 H/14), I: 322.</w:t>
      </w:r>
    </w:p>
  </w:footnote>
  <w:footnote w:id="4">
    <w:p w:rsidR="00AE5A60" w:rsidRPr="005E0358" w:rsidRDefault="00FE608F" w:rsidP="005E0358">
      <w:pPr>
        <w:pStyle w:val="NoSpacing"/>
        <w:jc w:val="both"/>
        <w:rPr>
          <w:sz w:val="18"/>
          <w:szCs w:val="18"/>
          <w:lang w:val="id-ID"/>
        </w:rPr>
      </w:pPr>
      <w:r w:rsidRPr="007A5CB8">
        <w:rPr>
          <w:sz w:val="18"/>
          <w:szCs w:val="18"/>
          <w:lang w:val="id-ID"/>
        </w:rPr>
        <w:tab/>
      </w:r>
      <w:r w:rsidRPr="007A5CB8">
        <w:rPr>
          <w:rStyle w:val="FootnoteReference"/>
          <w:sz w:val="18"/>
          <w:szCs w:val="18"/>
        </w:rPr>
        <w:footnoteRef/>
      </w:r>
      <w:r w:rsidRPr="007A5CB8">
        <w:rPr>
          <w:sz w:val="18"/>
          <w:szCs w:val="18"/>
        </w:rPr>
        <w:t xml:space="preserve"> Al-Qurtubi, </w:t>
      </w:r>
      <w:r w:rsidRPr="007A5CB8">
        <w:rPr>
          <w:i/>
          <w:iCs/>
          <w:sz w:val="18"/>
          <w:szCs w:val="18"/>
        </w:rPr>
        <w:t>Jami' al-Ahkam al-Qur'an</w:t>
      </w:r>
      <w:r w:rsidRPr="007A5CB8">
        <w:rPr>
          <w:sz w:val="18"/>
          <w:szCs w:val="18"/>
        </w:rPr>
        <w:t>, (Mesir: Dar al-Kitab al-'Arabi, 1967), III: 170.</w:t>
      </w:r>
    </w:p>
  </w:footnote>
  <w:footnote w:id="5">
    <w:p w:rsidR="00FE608F" w:rsidRPr="007A5CB8" w:rsidRDefault="00FE608F" w:rsidP="006E1506">
      <w:pPr>
        <w:pStyle w:val="NoSpacing"/>
        <w:jc w:val="both"/>
        <w:rPr>
          <w:sz w:val="18"/>
          <w:szCs w:val="18"/>
        </w:rPr>
      </w:pPr>
      <w:r w:rsidRPr="007A5CB8">
        <w:rPr>
          <w:sz w:val="18"/>
          <w:szCs w:val="18"/>
          <w:lang w:val="id-ID"/>
        </w:rPr>
        <w:tab/>
      </w:r>
      <w:r w:rsidRPr="007A5CB8">
        <w:rPr>
          <w:rStyle w:val="FootnoteReference"/>
          <w:sz w:val="18"/>
          <w:szCs w:val="18"/>
        </w:rPr>
        <w:footnoteRef/>
      </w:r>
      <w:r w:rsidRPr="007A5CB8">
        <w:rPr>
          <w:sz w:val="18"/>
          <w:szCs w:val="18"/>
        </w:rPr>
        <w:t xml:space="preserve"> Achmad Warson Munawwir, </w:t>
      </w:r>
      <w:r w:rsidRPr="007A5CB8">
        <w:rPr>
          <w:i/>
          <w:iCs/>
          <w:sz w:val="18"/>
          <w:szCs w:val="18"/>
        </w:rPr>
        <w:t>Al-Munawwir</w:t>
      </w:r>
      <w:r w:rsidRPr="007A5CB8">
        <w:rPr>
          <w:sz w:val="18"/>
          <w:szCs w:val="18"/>
        </w:rPr>
        <w:t>, (Yogyakarta: Pustaka Progresif, 1997), hlm. 1418.</w:t>
      </w:r>
    </w:p>
  </w:footnote>
  <w:footnote w:id="6">
    <w:p w:rsidR="00AE5A60" w:rsidRPr="005E0358" w:rsidRDefault="00FE608F" w:rsidP="005E0358">
      <w:pPr>
        <w:pStyle w:val="NoSpacing"/>
        <w:jc w:val="both"/>
        <w:rPr>
          <w:sz w:val="18"/>
          <w:szCs w:val="18"/>
          <w:lang w:val="id-ID"/>
        </w:rPr>
      </w:pPr>
      <w:r w:rsidRPr="007A5CB8">
        <w:rPr>
          <w:sz w:val="18"/>
          <w:szCs w:val="18"/>
          <w:lang w:val="id-ID"/>
        </w:rPr>
        <w:tab/>
      </w:r>
      <w:r w:rsidRPr="007A5CB8">
        <w:rPr>
          <w:rStyle w:val="FootnoteReference"/>
          <w:sz w:val="18"/>
          <w:szCs w:val="18"/>
        </w:rPr>
        <w:footnoteRef/>
      </w:r>
      <w:r w:rsidRPr="005E0358">
        <w:rPr>
          <w:sz w:val="18"/>
          <w:szCs w:val="18"/>
          <w:lang w:val="id-ID"/>
        </w:rPr>
        <w:t xml:space="preserve">Dikutip dari Saleh bin Ganim al-Saldani, </w:t>
      </w:r>
      <w:r w:rsidRPr="005E0358">
        <w:rPr>
          <w:i/>
          <w:iCs/>
          <w:sz w:val="18"/>
          <w:szCs w:val="18"/>
          <w:lang w:val="id-ID"/>
        </w:rPr>
        <w:t xml:space="preserve">Nusyuz, </w:t>
      </w:r>
      <w:r w:rsidRPr="005E0358">
        <w:rPr>
          <w:sz w:val="18"/>
          <w:szCs w:val="18"/>
          <w:lang w:val="id-ID"/>
        </w:rPr>
        <w:t>alih bahasa A. Syaiuqi Qadri, cet. VI (Jakarta: Gema Insani Press, 2004), hlm. 25-26.</w:t>
      </w:r>
    </w:p>
  </w:footnote>
  <w:footnote w:id="7">
    <w:p w:rsidR="00AE5A60" w:rsidRPr="005E0358" w:rsidRDefault="00FE608F" w:rsidP="005E0358">
      <w:pPr>
        <w:pStyle w:val="NoSpacing"/>
        <w:jc w:val="both"/>
        <w:rPr>
          <w:sz w:val="18"/>
          <w:szCs w:val="18"/>
          <w:lang w:val="id-ID"/>
        </w:rPr>
      </w:pPr>
      <w:r w:rsidRPr="007A5CB8">
        <w:rPr>
          <w:sz w:val="18"/>
          <w:szCs w:val="18"/>
          <w:lang w:val="id-ID"/>
        </w:rPr>
        <w:tab/>
      </w:r>
      <w:r w:rsidRPr="007A5CB8">
        <w:rPr>
          <w:rStyle w:val="FootnoteReference"/>
          <w:sz w:val="18"/>
          <w:szCs w:val="18"/>
        </w:rPr>
        <w:footnoteRef/>
      </w:r>
      <w:r w:rsidRPr="005E0358">
        <w:rPr>
          <w:i/>
          <w:iCs/>
          <w:sz w:val="18"/>
          <w:szCs w:val="18"/>
          <w:lang w:val="id-ID"/>
        </w:rPr>
        <w:t>Ibid.</w:t>
      </w:r>
      <w:r w:rsidRPr="005E0358">
        <w:rPr>
          <w:sz w:val="18"/>
          <w:szCs w:val="18"/>
          <w:lang w:val="id-ID"/>
        </w:rPr>
        <w:t>, hlm. 1354.</w:t>
      </w:r>
    </w:p>
  </w:footnote>
  <w:footnote w:id="8">
    <w:p w:rsidR="00AE5A60" w:rsidRPr="005E0358" w:rsidRDefault="00FE608F" w:rsidP="005E0358">
      <w:pPr>
        <w:pStyle w:val="NoSpacing"/>
        <w:jc w:val="both"/>
        <w:rPr>
          <w:i/>
          <w:iCs/>
          <w:sz w:val="18"/>
          <w:szCs w:val="18"/>
          <w:lang w:val="id-ID"/>
        </w:rPr>
      </w:pPr>
      <w:r w:rsidRPr="007A5CB8">
        <w:rPr>
          <w:sz w:val="18"/>
          <w:szCs w:val="18"/>
          <w:lang w:val="id-ID"/>
        </w:rPr>
        <w:tab/>
      </w:r>
      <w:r w:rsidRPr="007A5CB8">
        <w:rPr>
          <w:rStyle w:val="FootnoteReference"/>
          <w:sz w:val="18"/>
          <w:szCs w:val="18"/>
        </w:rPr>
        <w:footnoteRef/>
      </w:r>
      <w:r w:rsidRPr="007A5CB8">
        <w:rPr>
          <w:i/>
          <w:iCs/>
          <w:sz w:val="18"/>
          <w:szCs w:val="18"/>
        </w:rPr>
        <w:t>Ibid.</w:t>
      </w:r>
    </w:p>
  </w:footnote>
  <w:footnote w:id="9">
    <w:p w:rsidR="00AE5A60" w:rsidRPr="005E0358" w:rsidRDefault="00FE608F" w:rsidP="005E0358">
      <w:pPr>
        <w:pStyle w:val="NoSpacing"/>
        <w:jc w:val="both"/>
        <w:rPr>
          <w:sz w:val="18"/>
          <w:szCs w:val="18"/>
          <w:lang w:val="id-ID"/>
        </w:rPr>
      </w:pPr>
      <w:r w:rsidRPr="007A5CB8">
        <w:rPr>
          <w:sz w:val="18"/>
          <w:szCs w:val="18"/>
          <w:lang w:val="id-ID"/>
        </w:rPr>
        <w:tab/>
      </w:r>
      <w:r w:rsidRPr="007A5CB8">
        <w:rPr>
          <w:rStyle w:val="FootnoteReference"/>
          <w:sz w:val="18"/>
          <w:szCs w:val="18"/>
        </w:rPr>
        <w:footnoteRef/>
      </w:r>
      <w:r w:rsidRPr="007A5CB8">
        <w:rPr>
          <w:sz w:val="18"/>
          <w:szCs w:val="18"/>
        </w:rPr>
        <w:t xml:space="preserve">Inpres nomor 1 tahun 1991 tentang Kompilasi Hukum Islam, Pasal 83 Ayat (1) dan 84 Ayat (1). </w:t>
      </w:r>
    </w:p>
  </w:footnote>
  <w:footnote w:id="10">
    <w:p w:rsidR="00AE5A60" w:rsidRPr="005E0358" w:rsidRDefault="00FE608F" w:rsidP="005E0358">
      <w:pPr>
        <w:pStyle w:val="NoSpacing"/>
        <w:jc w:val="both"/>
        <w:rPr>
          <w:sz w:val="18"/>
          <w:szCs w:val="18"/>
          <w:lang w:val="id-ID"/>
        </w:rPr>
      </w:pPr>
      <w:r w:rsidRPr="007A5CB8">
        <w:rPr>
          <w:sz w:val="18"/>
          <w:szCs w:val="18"/>
          <w:lang w:val="id-ID"/>
        </w:rPr>
        <w:tab/>
      </w:r>
      <w:r w:rsidRPr="007A5CB8">
        <w:rPr>
          <w:rStyle w:val="FootnoteReference"/>
          <w:sz w:val="18"/>
          <w:szCs w:val="18"/>
        </w:rPr>
        <w:footnoteRef/>
      </w:r>
      <w:r w:rsidRPr="007A5CB8">
        <w:rPr>
          <w:i/>
          <w:iCs/>
          <w:sz w:val="18"/>
          <w:szCs w:val="18"/>
        </w:rPr>
        <w:t>Ensiklopedi Hukum Islam</w:t>
      </w:r>
      <w:r w:rsidRPr="007A5CB8">
        <w:rPr>
          <w:sz w:val="18"/>
          <w:szCs w:val="18"/>
        </w:rPr>
        <w:t>, (Jakarta: PT. Ichtiar Baru Van Hoeve, tt.), IV: 1353.</w:t>
      </w:r>
    </w:p>
  </w:footnote>
  <w:footnote w:id="11">
    <w:p w:rsidR="00FE608F" w:rsidRPr="005E0358" w:rsidRDefault="00FE608F" w:rsidP="005E0358">
      <w:pPr>
        <w:pStyle w:val="NoSpacing"/>
        <w:jc w:val="both"/>
        <w:rPr>
          <w:sz w:val="18"/>
          <w:szCs w:val="18"/>
          <w:lang w:val="id-ID"/>
        </w:rPr>
      </w:pPr>
      <w:r w:rsidRPr="007A5CB8">
        <w:rPr>
          <w:sz w:val="18"/>
          <w:szCs w:val="18"/>
          <w:lang w:val="id-ID"/>
        </w:rPr>
        <w:tab/>
      </w:r>
      <w:r w:rsidRPr="007A5CB8">
        <w:rPr>
          <w:rStyle w:val="FootnoteReference"/>
          <w:sz w:val="18"/>
          <w:szCs w:val="18"/>
        </w:rPr>
        <w:footnoteRef/>
      </w:r>
      <w:r w:rsidRPr="005E0358">
        <w:rPr>
          <w:i/>
          <w:iCs/>
          <w:sz w:val="18"/>
          <w:szCs w:val="18"/>
          <w:lang w:val="id-ID"/>
        </w:rPr>
        <w:t>I’radh</w:t>
      </w:r>
      <w:r w:rsidRPr="005E0358">
        <w:rPr>
          <w:sz w:val="18"/>
          <w:szCs w:val="18"/>
          <w:lang w:val="id-ID"/>
        </w:rPr>
        <w:t xml:space="preserve"> ialah kurangnya perhatian seorang suami  terhadap isterinya  hingga tidak ada komunikasi dan intraksi yang wajar sebagai pasangan hidup, atau menelantarkan isteri tanpa setatus, diperhatikan tidak, dicerai pun tidak.(lihat, Saleh bin Ganim, </w:t>
      </w:r>
      <w:r w:rsidRPr="005E0358">
        <w:rPr>
          <w:i/>
          <w:iCs/>
          <w:sz w:val="18"/>
          <w:szCs w:val="18"/>
          <w:lang w:val="id-ID"/>
        </w:rPr>
        <w:t xml:space="preserve">nusyuz, </w:t>
      </w:r>
      <w:r w:rsidRPr="005E0358">
        <w:rPr>
          <w:sz w:val="18"/>
          <w:szCs w:val="18"/>
          <w:lang w:val="id-ID"/>
        </w:rPr>
        <w:t>hlm. 29).</w:t>
      </w:r>
    </w:p>
  </w:footnote>
  <w:footnote w:id="12">
    <w:p w:rsidR="007A5CB8" w:rsidRPr="007A5CB8" w:rsidRDefault="007A5CB8">
      <w:pPr>
        <w:pStyle w:val="FootnoteText"/>
        <w:rPr>
          <w:sz w:val="18"/>
          <w:szCs w:val="18"/>
          <w:lang w:val="id-ID"/>
        </w:rPr>
      </w:pPr>
      <w:r w:rsidRPr="007A5CB8">
        <w:rPr>
          <w:sz w:val="18"/>
          <w:szCs w:val="18"/>
          <w:lang w:val="id-ID"/>
        </w:rPr>
        <w:tab/>
      </w:r>
      <w:r w:rsidRPr="007A5CB8">
        <w:rPr>
          <w:rStyle w:val="FootnoteReference"/>
          <w:sz w:val="18"/>
          <w:szCs w:val="18"/>
        </w:rPr>
        <w:footnoteRef/>
      </w:r>
      <w:r w:rsidRPr="007A5CB8">
        <w:rPr>
          <w:sz w:val="18"/>
          <w:szCs w:val="18"/>
          <w:lang w:val="id-ID"/>
        </w:rPr>
        <w:t>An-Nisa (4) : 34</w:t>
      </w:r>
    </w:p>
  </w:footnote>
  <w:footnote w:id="13">
    <w:p w:rsidR="007A5CB8" w:rsidRPr="007A5CB8" w:rsidRDefault="007A5CB8">
      <w:pPr>
        <w:pStyle w:val="FootnoteText"/>
        <w:rPr>
          <w:sz w:val="18"/>
          <w:szCs w:val="18"/>
          <w:lang w:val="id-ID"/>
        </w:rPr>
      </w:pPr>
      <w:r w:rsidRPr="007A5CB8">
        <w:rPr>
          <w:sz w:val="18"/>
          <w:szCs w:val="18"/>
          <w:lang w:val="id-ID"/>
        </w:rPr>
        <w:tab/>
      </w:r>
      <w:r w:rsidRPr="007A5CB8">
        <w:rPr>
          <w:rStyle w:val="FootnoteReference"/>
          <w:sz w:val="18"/>
          <w:szCs w:val="18"/>
        </w:rPr>
        <w:footnoteRef/>
      </w:r>
      <w:r w:rsidRPr="007A5CB8">
        <w:rPr>
          <w:sz w:val="18"/>
          <w:szCs w:val="18"/>
          <w:lang w:val="id-ID"/>
        </w:rPr>
        <w:t>An-Nisa (4) : 128</w:t>
      </w:r>
    </w:p>
  </w:footnote>
  <w:footnote w:id="14">
    <w:p w:rsidR="00FE608F" w:rsidRPr="007A5CB8" w:rsidRDefault="00FE608F" w:rsidP="006E1506">
      <w:pPr>
        <w:pStyle w:val="NoSpacing"/>
        <w:rPr>
          <w:i/>
          <w:iCs/>
          <w:sz w:val="18"/>
          <w:szCs w:val="18"/>
        </w:rPr>
      </w:pPr>
      <w:r w:rsidRPr="007A5CB8">
        <w:rPr>
          <w:sz w:val="18"/>
          <w:szCs w:val="18"/>
          <w:lang w:val="id-ID"/>
        </w:rPr>
        <w:tab/>
      </w:r>
      <w:r w:rsidRPr="007A5CB8">
        <w:rPr>
          <w:rStyle w:val="FootnoteReference"/>
          <w:sz w:val="18"/>
          <w:szCs w:val="18"/>
        </w:rPr>
        <w:footnoteRef/>
      </w:r>
      <w:r w:rsidRPr="007A5CB8">
        <w:rPr>
          <w:i/>
          <w:iCs/>
          <w:sz w:val="18"/>
          <w:szCs w:val="18"/>
        </w:rPr>
        <w:t xml:space="preserve">KHI, </w:t>
      </w:r>
      <w:r w:rsidRPr="007A5CB8">
        <w:rPr>
          <w:sz w:val="18"/>
          <w:szCs w:val="18"/>
        </w:rPr>
        <w:t>Pasal 83 Ayat 1 dan Pasal 84 Ayat (1) dan (4).</w:t>
      </w:r>
    </w:p>
  </w:footnote>
  <w:footnote w:id="15">
    <w:p w:rsidR="00FE608F" w:rsidRPr="007A5CB8" w:rsidRDefault="00FE608F" w:rsidP="006E1506">
      <w:pPr>
        <w:pStyle w:val="NoSpacing"/>
        <w:rPr>
          <w:sz w:val="18"/>
          <w:szCs w:val="18"/>
        </w:rPr>
      </w:pPr>
      <w:r w:rsidRPr="007A5CB8">
        <w:rPr>
          <w:sz w:val="18"/>
          <w:szCs w:val="18"/>
          <w:lang w:val="id-ID"/>
        </w:rPr>
        <w:tab/>
      </w:r>
      <w:r w:rsidRPr="007A5CB8">
        <w:rPr>
          <w:rStyle w:val="FootnoteReference"/>
          <w:sz w:val="18"/>
          <w:szCs w:val="18"/>
        </w:rPr>
        <w:footnoteRef/>
      </w:r>
      <w:r w:rsidRPr="007A5CB8">
        <w:rPr>
          <w:i/>
          <w:iCs/>
          <w:sz w:val="18"/>
          <w:szCs w:val="18"/>
        </w:rPr>
        <w:t>Ensiklopedi</w:t>
      </w:r>
      <w:r w:rsidRPr="007A5CB8">
        <w:rPr>
          <w:sz w:val="18"/>
          <w:szCs w:val="18"/>
        </w:rPr>
        <w:t>, hlm. 1354-1355.</w:t>
      </w:r>
    </w:p>
  </w:footnote>
  <w:footnote w:id="16">
    <w:p w:rsidR="00AE5A60" w:rsidRPr="005E0358" w:rsidRDefault="00FE608F" w:rsidP="00A542E7">
      <w:pPr>
        <w:pStyle w:val="NoSpacing"/>
        <w:jc w:val="both"/>
        <w:rPr>
          <w:sz w:val="18"/>
          <w:szCs w:val="18"/>
          <w:lang w:val="id-ID"/>
        </w:rPr>
      </w:pPr>
      <w:r w:rsidRPr="007A5CB8">
        <w:rPr>
          <w:sz w:val="18"/>
          <w:szCs w:val="18"/>
          <w:lang w:val="id-ID"/>
        </w:rPr>
        <w:tab/>
      </w:r>
      <w:r w:rsidRPr="007A5CB8">
        <w:rPr>
          <w:rStyle w:val="FootnoteReference"/>
          <w:sz w:val="18"/>
          <w:szCs w:val="18"/>
        </w:rPr>
        <w:footnoteRef/>
      </w:r>
      <w:r w:rsidRPr="007A5CB8">
        <w:rPr>
          <w:sz w:val="18"/>
          <w:szCs w:val="18"/>
        </w:rPr>
        <w:t xml:space="preserve"> Ahmad Azhar Basyir, </w:t>
      </w:r>
      <w:r w:rsidRPr="007A5CB8">
        <w:rPr>
          <w:i/>
          <w:iCs/>
          <w:sz w:val="18"/>
          <w:szCs w:val="18"/>
        </w:rPr>
        <w:t>Hukum Perkawinan Islam</w:t>
      </w:r>
      <w:r w:rsidRPr="007A5CB8">
        <w:rPr>
          <w:sz w:val="18"/>
          <w:szCs w:val="18"/>
        </w:rPr>
        <w:t>, (Yogyakarta: UUI Press, 1995), hlm. 81.</w:t>
      </w:r>
    </w:p>
  </w:footnote>
  <w:footnote w:id="17">
    <w:p w:rsidR="00AE5A60" w:rsidRPr="005E0358" w:rsidRDefault="00FE608F" w:rsidP="00A542E7">
      <w:pPr>
        <w:pStyle w:val="NoSpacing"/>
        <w:jc w:val="both"/>
        <w:rPr>
          <w:sz w:val="18"/>
          <w:szCs w:val="18"/>
          <w:lang w:val="id-ID"/>
        </w:rPr>
      </w:pPr>
      <w:r w:rsidRPr="007A5CB8">
        <w:rPr>
          <w:sz w:val="18"/>
          <w:szCs w:val="18"/>
          <w:lang w:val="id-ID"/>
        </w:rPr>
        <w:tab/>
      </w:r>
      <w:r w:rsidRPr="007A5CB8">
        <w:rPr>
          <w:rStyle w:val="FootnoteReference"/>
          <w:sz w:val="18"/>
          <w:szCs w:val="18"/>
        </w:rPr>
        <w:footnoteRef/>
      </w:r>
      <w:r w:rsidRPr="007A5CB8">
        <w:rPr>
          <w:sz w:val="18"/>
          <w:szCs w:val="18"/>
        </w:rPr>
        <w:t xml:space="preserve"> Imam Taqiyu ad-Din Abi Bakr ibn Muhammad al-Husaini ad-Dimasqi asy-Syafi'i, </w:t>
      </w:r>
      <w:r w:rsidRPr="007A5CB8">
        <w:rPr>
          <w:i/>
          <w:iCs/>
          <w:sz w:val="18"/>
          <w:szCs w:val="18"/>
        </w:rPr>
        <w:t>Kifayat al-Akhyar</w:t>
      </w:r>
      <w:r w:rsidRPr="007A5CB8">
        <w:rPr>
          <w:sz w:val="18"/>
          <w:szCs w:val="18"/>
        </w:rPr>
        <w:t>, (tnp., Dar al-Fikr, t.t.), II: 148.</w:t>
      </w:r>
    </w:p>
  </w:footnote>
  <w:footnote w:id="18">
    <w:p w:rsidR="00FE608F" w:rsidRPr="007A5CB8" w:rsidRDefault="00FE608F" w:rsidP="00A542E7">
      <w:pPr>
        <w:pStyle w:val="NoSpacing"/>
        <w:jc w:val="both"/>
        <w:rPr>
          <w:sz w:val="18"/>
          <w:szCs w:val="18"/>
        </w:rPr>
      </w:pPr>
      <w:r w:rsidRPr="007A5CB8">
        <w:rPr>
          <w:sz w:val="18"/>
          <w:szCs w:val="18"/>
          <w:lang w:val="id-ID"/>
        </w:rPr>
        <w:tab/>
      </w:r>
      <w:r w:rsidRPr="007A5CB8">
        <w:rPr>
          <w:rStyle w:val="FootnoteReference"/>
          <w:sz w:val="18"/>
          <w:szCs w:val="18"/>
        </w:rPr>
        <w:footnoteRef/>
      </w:r>
      <w:r w:rsidRPr="007A5CB8">
        <w:rPr>
          <w:sz w:val="18"/>
          <w:szCs w:val="18"/>
        </w:rPr>
        <w:t xml:space="preserve">Muh. Yusuf Asy-Syahir al-Jamal, </w:t>
      </w:r>
      <w:r w:rsidRPr="007A5CB8">
        <w:rPr>
          <w:i/>
          <w:iCs/>
          <w:sz w:val="18"/>
          <w:szCs w:val="18"/>
        </w:rPr>
        <w:t>Tafsir Al-Bahr al-Muhit</w:t>
      </w:r>
      <w:r w:rsidRPr="007A5CB8">
        <w:rPr>
          <w:sz w:val="18"/>
          <w:szCs w:val="18"/>
        </w:rPr>
        <w:t>, cet. II, (Beirut: Dar al-Kutub al-Alamiyah, 1413 H/1993 M), II: 251.</w:t>
      </w:r>
    </w:p>
  </w:footnote>
  <w:footnote w:id="19">
    <w:p w:rsidR="00AE5A60" w:rsidRPr="005E0358" w:rsidRDefault="00FE608F" w:rsidP="00A542E7">
      <w:pPr>
        <w:pStyle w:val="NoSpacing"/>
        <w:jc w:val="both"/>
        <w:rPr>
          <w:sz w:val="18"/>
          <w:szCs w:val="18"/>
          <w:lang w:val="id-ID"/>
        </w:rPr>
      </w:pPr>
      <w:r w:rsidRPr="007A5CB8">
        <w:rPr>
          <w:sz w:val="18"/>
          <w:szCs w:val="18"/>
          <w:lang w:val="id-ID"/>
        </w:rPr>
        <w:tab/>
      </w:r>
      <w:r w:rsidRPr="007A5CB8">
        <w:rPr>
          <w:rStyle w:val="FootnoteReference"/>
          <w:sz w:val="18"/>
          <w:szCs w:val="18"/>
        </w:rPr>
        <w:footnoteRef/>
      </w:r>
      <w:r w:rsidRPr="007A5CB8">
        <w:rPr>
          <w:i/>
          <w:iCs/>
          <w:sz w:val="18"/>
          <w:szCs w:val="18"/>
        </w:rPr>
        <w:t>Ibid.</w:t>
      </w:r>
      <w:r w:rsidRPr="007A5CB8">
        <w:rPr>
          <w:sz w:val="18"/>
          <w:szCs w:val="18"/>
        </w:rPr>
        <w:t>,II:  452.</w:t>
      </w:r>
    </w:p>
  </w:footnote>
  <w:footnote w:id="20">
    <w:p w:rsidR="00AE5A60" w:rsidRPr="00A542E7" w:rsidRDefault="00FE608F" w:rsidP="00A542E7">
      <w:pPr>
        <w:pStyle w:val="NoSpacing"/>
        <w:jc w:val="both"/>
        <w:rPr>
          <w:sz w:val="18"/>
          <w:szCs w:val="18"/>
          <w:lang w:val="id-ID"/>
        </w:rPr>
      </w:pPr>
      <w:r w:rsidRPr="007A5CB8">
        <w:rPr>
          <w:sz w:val="18"/>
          <w:szCs w:val="18"/>
          <w:lang w:val="id-ID"/>
        </w:rPr>
        <w:tab/>
      </w:r>
      <w:r w:rsidRPr="007A5CB8">
        <w:rPr>
          <w:rStyle w:val="FootnoteReference"/>
          <w:sz w:val="18"/>
          <w:szCs w:val="18"/>
        </w:rPr>
        <w:footnoteRef/>
      </w:r>
      <w:r w:rsidRPr="007A5CB8">
        <w:rPr>
          <w:sz w:val="18"/>
          <w:szCs w:val="18"/>
        </w:rPr>
        <w:t xml:space="preserve"> Wahbah az-Zuhaili, </w:t>
      </w:r>
      <w:r w:rsidRPr="007A5CB8">
        <w:rPr>
          <w:i/>
          <w:iCs/>
          <w:sz w:val="18"/>
          <w:szCs w:val="18"/>
        </w:rPr>
        <w:t>al-Fiqh al-Islami wa Adillatuhu</w:t>
      </w:r>
      <w:r w:rsidRPr="007A5CB8">
        <w:rPr>
          <w:sz w:val="18"/>
          <w:szCs w:val="18"/>
        </w:rPr>
        <w:t>, cet. IV, (Bairut: Dar al-Fikr, 1997), IV: 6851.</w:t>
      </w:r>
    </w:p>
  </w:footnote>
  <w:footnote w:id="21">
    <w:p w:rsidR="00AE5A60" w:rsidRPr="00A542E7" w:rsidRDefault="00FE608F" w:rsidP="00A542E7">
      <w:pPr>
        <w:pStyle w:val="NoSpacing"/>
        <w:jc w:val="both"/>
        <w:rPr>
          <w:sz w:val="18"/>
          <w:szCs w:val="18"/>
          <w:lang w:val="id-ID"/>
        </w:rPr>
      </w:pPr>
      <w:r w:rsidRPr="007A5CB8">
        <w:rPr>
          <w:sz w:val="18"/>
          <w:szCs w:val="18"/>
          <w:lang w:val="id-ID"/>
        </w:rPr>
        <w:tab/>
      </w:r>
      <w:r w:rsidRPr="007A5CB8">
        <w:rPr>
          <w:rStyle w:val="FootnoteReference"/>
          <w:sz w:val="18"/>
          <w:szCs w:val="18"/>
        </w:rPr>
        <w:footnoteRef/>
      </w:r>
      <w:r w:rsidRPr="007A5CB8">
        <w:rPr>
          <w:sz w:val="18"/>
          <w:szCs w:val="18"/>
        </w:rPr>
        <w:t xml:space="preserve"> Muhammad Yusuf Musa, </w:t>
      </w:r>
      <w:r w:rsidRPr="007A5CB8">
        <w:rPr>
          <w:i/>
          <w:iCs/>
          <w:sz w:val="18"/>
          <w:szCs w:val="18"/>
        </w:rPr>
        <w:t>Ahkam al-Ahwal asy-Syakhsiyyah fi Fiqh al-Islami</w:t>
      </w:r>
      <w:r w:rsidRPr="007A5CB8">
        <w:rPr>
          <w:sz w:val="18"/>
          <w:szCs w:val="18"/>
        </w:rPr>
        <w:t>, cet. I, (Mesir: Dar al-Kitab al-'Arabi, 1956), hlm. 222.</w:t>
      </w:r>
    </w:p>
  </w:footnote>
  <w:footnote w:id="22">
    <w:p w:rsidR="00FE608F" w:rsidRPr="007A5CB8" w:rsidRDefault="00FE608F" w:rsidP="00A542E7">
      <w:pPr>
        <w:pStyle w:val="NoSpacing"/>
        <w:jc w:val="both"/>
        <w:rPr>
          <w:sz w:val="18"/>
          <w:szCs w:val="18"/>
        </w:rPr>
      </w:pPr>
      <w:r w:rsidRPr="007A5CB8">
        <w:rPr>
          <w:sz w:val="18"/>
          <w:szCs w:val="18"/>
          <w:lang w:val="id-ID"/>
        </w:rPr>
        <w:tab/>
      </w:r>
      <w:r w:rsidRPr="007A5CB8">
        <w:rPr>
          <w:rStyle w:val="FootnoteReference"/>
          <w:sz w:val="18"/>
          <w:szCs w:val="18"/>
        </w:rPr>
        <w:footnoteRef/>
      </w:r>
      <w:r w:rsidRPr="007A5CB8">
        <w:rPr>
          <w:sz w:val="18"/>
          <w:szCs w:val="18"/>
        </w:rPr>
        <w:t xml:space="preserve">Forum Kajian Kitab Kuning (FK3), </w:t>
      </w:r>
      <w:r w:rsidRPr="007A5CB8">
        <w:rPr>
          <w:i/>
          <w:iCs/>
          <w:sz w:val="18"/>
          <w:szCs w:val="18"/>
        </w:rPr>
        <w:t>Wajah Baru Relasi Suami-isteri</w:t>
      </w:r>
      <w:r w:rsidRPr="007A5CB8">
        <w:rPr>
          <w:sz w:val="18"/>
          <w:szCs w:val="18"/>
        </w:rPr>
        <w:t>., hlm. 26.</w:t>
      </w:r>
    </w:p>
  </w:footnote>
  <w:footnote w:id="23">
    <w:p w:rsidR="00AE5A60" w:rsidRPr="00A542E7" w:rsidRDefault="00FE608F" w:rsidP="00A542E7">
      <w:pPr>
        <w:pStyle w:val="NoSpacing"/>
        <w:rPr>
          <w:sz w:val="18"/>
          <w:szCs w:val="18"/>
          <w:lang w:val="id-ID"/>
        </w:rPr>
      </w:pPr>
      <w:r w:rsidRPr="007A5CB8">
        <w:rPr>
          <w:sz w:val="18"/>
          <w:szCs w:val="18"/>
          <w:lang w:val="id-ID"/>
        </w:rPr>
        <w:tab/>
      </w:r>
      <w:r w:rsidRPr="007A5CB8">
        <w:rPr>
          <w:rStyle w:val="FootnoteReference"/>
          <w:sz w:val="18"/>
          <w:szCs w:val="18"/>
        </w:rPr>
        <w:footnoteRef/>
      </w:r>
      <w:r w:rsidRPr="007A5CB8">
        <w:rPr>
          <w:sz w:val="18"/>
          <w:szCs w:val="18"/>
        </w:rPr>
        <w:t xml:space="preserve"> Saleh bin Ganim, </w:t>
      </w:r>
      <w:r w:rsidRPr="007A5CB8">
        <w:rPr>
          <w:i/>
          <w:iCs/>
          <w:sz w:val="18"/>
          <w:szCs w:val="18"/>
        </w:rPr>
        <w:t>Nusyuz.,</w:t>
      </w:r>
      <w:r w:rsidRPr="007A5CB8">
        <w:rPr>
          <w:sz w:val="18"/>
          <w:szCs w:val="18"/>
        </w:rPr>
        <w:t>hlm. 31-32.</w:t>
      </w:r>
    </w:p>
  </w:footnote>
  <w:footnote w:id="24">
    <w:p w:rsidR="00FE608F" w:rsidRPr="007A5CB8" w:rsidRDefault="00FE608F" w:rsidP="006E1506">
      <w:pPr>
        <w:pStyle w:val="NoSpacing"/>
        <w:rPr>
          <w:sz w:val="18"/>
          <w:szCs w:val="18"/>
        </w:rPr>
      </w:pPr>
      <w:r w:rsidRPr="007A5CB8">
        <w:rPr>
          <w:sz w:val="18"/>
          <w:szCs w:val="18"/>
          <w:lang w:val="id-ID"/>
        </w:rPr>
        <w:tab/>
      </w:r>
      <w:r w:rsidRPr="007A5CB8">
        <w:rPr>
          <w:rStyle w:val="FootnoteReference"/>
          <w:sz w:val="18"/>
          <w:szCs w:val="18"/>
        </w:rPr>
        <w:footnoteRef/>
      </w:r>
      <w:r w:rsidRPr="007A5CB8">
        <w:rPr>
          <w:i/>
          <w:iCs/>
          <w:sz w:val="18"/>
          <w:szCs w:val="18"/>
        </w:rPr>
        <w:t>Ibid.,</w:t>
      </w:r>
      <w:r w:rsidRPr="007A5CB8">
        <w:rPr>
          <w:sz w:val="18"/>
          <w:szCs w:val="18"/>
        </w:rPr>
        <w:t xml:space="preserve"> hlm. 33-34.</w:t>
      </w:r>
    </w:p>
  </w:footnote>
  <w:footnote w:id="25">
    <w:p w:rsidR="00FE608F" w:rsidRPr="007A5CB8" w:rsidRDefault="00FE608F" w:rsidP="006E1506">
      <w:pPr>
        <w:pStyle w:val="NoSpacing"/>
        <w:rPr>
          <w:sz w:val="18"/>
          <w:szCs w:val="18"/>
        </w:rPr>
      </w:pPr>
      <w:r w:rsidRPr="007A5CB8">
        <w:rPr>
          <w:sz w:val="18"/>
          <w:szCs w:val="18"/>
          <w:lang w:val="id-ID"/>
        </w:rPr>
        <w:tab/>
      </w:r>
      <w:r w:rsidRPr="007A5CB8">
        <w:rPr>
          <w:rStyle w:val="FootnoteReference"/>
          <w:sz w:val="18"/>
          <w:szCs w:val="18"/>
        </w:rPr>
        <w:footnoteRef/>
      </w:r>
      <w:r w:rsidRPr="007A5CB8">
        <w:rPr>
          <w:sz w:val="18"/>
          <w:szCs w:val="18"/>
        </w:rPr>
        <w:t xml:space="preserve"> Muhammad 'Ali as-Sabuni, </w:t>
      </w:r>
      <w:r w:rsidRPr="007A5CB8">
        <w:rPr>
          <w:i/>
          <w:iCs/>
          <w:sz w:val="18"/>
          <w:szCs w:val="18"/>
        </w:rPr>
        <w:t>Rawaiu al-Bayan.,</w:t>
      </w:r>
      <w:r w:rsidR="0042553D">
        <w:rPr>
          <w:sz w:val="18"/>
          <w:szCs w:val="18"/>
        </w:rPr>
        <w:t>Bukit Tinggi : Cv. Pustaka Setia, 2000, h</w:t>
      </w:r>
      <w:r w:rsidRPr="007A5CB8">
        <w:rPr>
          <w:sz w:val="18"/>
          <w:szCs w:val="18"/>
        </w:rPr>
        <w:t>. 370-371</w:t>
      </w:r>
    </w:p>
  </w:footnote>
  <w:footnote w:id="26">
    <w:p w:rsidR="00AE5A60" w:rsidRDefault="00FE608F" w:rsidP="006E1506">
      <w:pPr>
        <w:pStyle w:val="NoSpacing"/>
        <w:rPr>
          <w:sz w:val="18"/>
          <w:szCs w:val="18"/>
        </w:rPr>
      </w:pPr>
      <w:r w:rsidRPr="007A5CB8">
        <w:rPr>
          <w:sz w:val="18"/>
          <w:szCs w:val="18"/>
          <w:lang w:val="id-ID"/>
        </w:rPr>
        <w:tab/>
      </w:r>
      <w:r w:rsidRPr="007A5CB8">
        <w:rPr>
          <w:rStyle w:val="FootnoteReference"/>
          <w:sz w:val="18"/>
          <w:szCs w:val="18"/>
        </w:rPr>
        <w:footnoteRef/>
      </w:r>
      <w:r w:rsidRPr="007A5CB8">
        <w:rPr>
          <w:i/>
          <w:iCs/>
          <w:sz w:val="18"/>
          <w:szCs w:val="18"/>
        </w:rPr>
        <w:t>Ensiklopedi Hukum Islam</w:t>
      </w:r>
      <w:r w:rsidRPr="007A5CB8">
        <w:rPr>
          <w:sz w:val="18"/>
          <w:szCs w:val="18"/>
        </w:rPr>
        <w:t>, hlm. 1355.</w:t>
      </w:r>
    </w:p>
    <w:p w:rsidR="00FE608F" w:rsidRPr="007A5CB8" w:rsidRDefault="00FE608F" w:rsidP="006E1506">
      <w:pPr>
        <w:pStyle w:val="NoSpacing"/>
        <w:rPr>
          <w:sz w:val="18"/>
          <w:szCs w:val="18"/>
        </w:rPr>
      </w:pPr>
      <w:r w:rsidRPr="007A5CB8">
        <w:rPr>
          <w:sz w:val="18"/>
          <w:szCs w:val="18"/>
        </w:rPr>
        <w:tab/>
      </w:r>
    </w:p>
  </w:footnote>
  <w:footnote w:id="27">
    <w:p w:rsidR="00FE608F" w:rsidRDefault="00FE608F" w:rsidP="006E1506">
      <w:pPr>
        <w:pStyle w:val="NoSpacing"/>
        <w:rPr>
          <w:sz w:val="18"/>
          <w:szCs w:val="18"/>
        </w:rPr>
      </w:pPr>
      <w:r w:rsidRPr="007A5CB8">
        <w:rPr>
          <w:sz w:val="18"/>
          <w:szCs w:val="18"/>
          <w:lang w:val="id-ID"/>
        </w:rPr>
        <w:tab/>
      </w:r>
      <w:r w:rsidRPr="007A5CB8">
        <w:rPr>
          <w:rStyle w:val="FootnoteReference"/>
          <w:sz w:val="18"/>
          <w:szCs w:val="18"/>
        </w:rPr>
        <w:footnoteRef/>
      </w:r>
      <w:r w:rsidRPr="007A5CB8">
        <w:rPr>
          <w:sz w:val="18"/>
          <w:szCs w:val="18"/>
        </w:rPr>
        <w:t xml:space="preserve"> Muhammad Nawawi, </w:t>
      </w:r>
      <w:r w:rsidRPr="007A5CB8">
        <w:rPr>
          <w:i/>
          <w:iCs/>
          <w:sz w:val="18"/>
          <w:szCs w:val="18"/>
        </w:rPr>
        <w:t>Uqud al-Lujjayn</w:t>
      </w:r>
      <w:r w:rsidRPr="007A5CB8">
        <w:rPr>
          <w:sz w:val="18"/>
          <w:szCs w:val="18"/>
        </w:rPr>
        <w:t xml:space="preserve">., </w:t>
      </w:r>
      <w:r w:rsidR="0088125A">
        <w:rPr>
          <w:sz w:val="18"/>
          <w:szCs w:val="18"/>
        </w:rPr>
        <w:t xml:space="preserve">Jakartan : Hikmah Mizan Group, 2001, </w:t>
      </w:r>
      <w:r w:rsidRPr="007A5CB8">
        <w:rPr>
          <w:sz w:val="18"/>
          <w:szCs w:val="18"/>
        </w:rPr>
        <w:t>hlm. 7.</w:t>
      </w:r>
    </w:p>
    <w:p w:rsidR="00AE5A60" w:rsidRPr="007A5CB8" w:rsidRDefault="00AE5A60" w:rsidP="006E1506">
      <w:pPr>
        <w:pStyle w:val="NoSpacing"/>
        <w:rPr>
          <w:sz w:val="18"/>
          <w:szCs w:val="18"/>
        </w:rPr>
      </w:pPr>
    </w:p>
  </w:footnote>
  <w:footnote w:id="28">
    <w:p w:rsidR="00FE608F" w:rsidRPr="007A5CB8" w:rsidRDefault="00FE608F" w:rsidP="006E1506">
      <w:pPr>
        <w:pStyle w:val="NoSpacing"/>
        <w:rPr>
          <w:sz w:val="18"/>
          <w:szCs w:val="18"/>
        </w:rPr>
      </w:pPr>
      <w:r w:rsidRPr="007A5CB8">
        <w:rPr>
          <w:sz w:val="18"/>
          <w:szCs w:val="18"/>
          <w:lang w:val="id-ID"/>
        </w:rPr>
        <w:tab/>
      </w:r>
      <w:r w:rsidRPr="007A5CB8">
        <w:rPr>
          <w:rStyle w:val="FootnoteReference"/>
          <w:sz w:val="18"/>
          <w:szCs w:val="18"/>
        </w:rPr>
        <w:footnoteRef/>
      </w:r>
      <w:r w:rsidRPr="007A5CB8">
        <w:rPr>
          <w:sz w:val="18"/>
          <w:szCs w:val="18"/>
        </w:rPr>
        <w:t xml:space="preserve"> Ahamad Azhar Basyir, </w:t>
      </w:r>
      <w:r w:rsidRPr="007A5CB8">
        <w:rPr>
          <w:i/>
          <w:iCs/>
          <w:sz w:val="18"/>
          <w:szCs w:val="18"/>
        </w:rPr>
        <w:t>Hukum Perkawinan Islam</w:t>
      </w:r>
      <w:r w:rsidRPr="007A5CB8">
        <w:rPr>
          <w:sz w:val="18"/>
          <w:szCs w:val="18"/>
        </w:rPr>
        <w:t xml:space="preserve">., </w:t>
      </w:r>
      <w:r w:rsidR="0088125A">
        <w:rPr>
          <w:sz w:val="18"/>
          <w:szCs w:val="18"/>
        </w:rPr>
        <w:t xml:space="preserve">Hikmah Mizan Group, 2005, </w:t>
      </w:r>
      <w:r w:rsidRPr="007A5CB8">
        <w:rPr>
          <w:sz w:val="18"/>
          <w:szCs w:val="18"/>
        </w:rPr>
        <w:t>hlm. 81.</w:t>
      </w:r>
    </w:p>
  </w:footnote>
  <w:footnote w:id="29">
    <w:p w:rsidR="00FE608F" w:rsidRDefault="00FE608F" w:rsidP="006E1506">
      <w:pPr>
        <w:pStyle w:val="NoSpacing"/>
        <w:rPr>
          <w:sz w:val="18"/>
          <w:szCs w:val="18"/>
        </w:rPr>
      </w:pPr>
      <w:r w:rsidRPr="007A5CB8">
        <w:rPr>
          <w:sz w:val="18"/>
          <w:szCs w:val="18"/>
          <w:lang w:val="id-ID"/>
        </w:rPr>
        <w:tab/>
      </w:r>
      <w:r w:rsidRPr="007A5CB8">
        <w:rPr>
          <w:rStyle w:val="FootnoteReference"/>
          <w:sz w:val="18"/>
          <w:szCs w:val="18"/>
        </w:rPr>
        <w:footnoteRef/>
      </w:r>
      <w:r w:rsidRPr="007A5CB8">
        <w:rPr>
          <w:sz w:val="18"/>
          <w:szCs w:val="18"/>
        </w:rPr>
        <w:t xml:space="preserve"> Muhammad Jawad Mugniyyah, </w:t>
      </w:r>
      <w:r w:rsidRPr="007A5CB8">
        <w:rPr>
          <w:i/>
          <w:iCs/>
          <w:sz w:val="18"/>
          <w:szCs w:val="18"/>
        </w:rPr>
        <w:t>Al-Ahwal asy-Syakhsiyyah</w:t>
      </w:r>
      <w:r w:rsidRPr="007A5CB8">
        <w:rPr>
          <w:sz w:val="18"/>
          <w:szCs w:val="18"/>
        </w:rPr>
        <w:t>, (Bairut: Dar al-Ilm Li al-Malayin, 1964), hlm. 102.</w:t>
      </w:r>
    </w:p>
    <w:p w:rsidR="00AE5A60" w:rsidRPr="007A5CB8" w:rsidRDefault="00AE5A60" w:rsidP="006E1506">
      <w:pPr>
        <w:pStyle w:val="NoSpacing"/>
        <w:rPr>
          <w:sz w:val="18"/>
          <w:szCs w:val="18"/>
        </w:rPr>
      </w:pPr>
    </w:p>
  </w:footnote>
  <w:footnote w:id="30">
    <w:p w:rsidR="00FE608F" w:rsidRDefault="00FE608F" w:rsidP="006E1506">
      <w:pPr>
        <w:pStyle w:val="NoSpacing"/>
        <w:rPr>
          <w:sz w:val="18"/>
          <w:szCs w:val="18"/>
        </w:rPr>
      </w:pPr>
      <w:r w:rsidRPr="007A5CB8">
        <w:rPr>
          <w:sz w:val="18"/>
          <w:szCs w:val="18"/>
          <w:lang w:val="id-ID"/>
        </w:rPr>
        <w:tab/>
      </w:r>
      <w:r w:rsidRPr="007A5CB8">
        <w:rPr>
          <w:rStyle w:val="FootnoteReference"/>
          <w:sz w:val="18"/>
          <w:szCs w:val="18"/>
        </w:rPr>
        <w:footnoteRef/>
      </w:r>
      <w:r w:rsidRPr="007A5CB8">
        <w:rPr>
          <w:i/>
          <w:iCs/>
          <w:sz w:val="18"/>
          <w:szCs w:val="18"/>
        </w:rPr>
        <w:t>KHI,</w:t>
      </w:r>
      <w:r w:rsidRPr="007A5CB8">
        <w:rPr>
          <w:sz w:val="18"/>
          <w:szCs w:val="18"/>
        </w:rPr>
        <w:t xml:space="preserve"> Pasal 80 Ayat (4), (5) dan (7).</w:t>
      </w:r>
    </w:p>
    <w:p w:rsidR="00AE5A60" w:rsidRPr="007A5CB8" w:rsidRDefault="00AE5A60" w:rsidP="006E1506">
      <w:pPr>
        <w:pStyle w:val="NoSpacing"/>
        <w:rPr>
          <w:sz w:val="18"/>
          <w:szCs w:val="18"/>
        </w:rPr>
      </w:pPr>
    </w:p>
  </w:footnote>
  <w:footnote w:id="31">
    <w:p w:rsidR="00FE608F" w:rsidRPr="007A5CB8" w:rsidRDefault="00FE608F" w:rsidP="006E1506">
      <w:pPr>
        <w:pStyle w:val="NoSpacing"/>
        <w:rPr>
          <w:sz w:val="18"/>
          <w:szCs w:val="18"/>
        </w:rPr>
      </w:pPr>
      <w:r w:rsidRPr="007A5CB8">
        <w:rPr>
          <w:sz w:val="18"/>
          <w:szCs w:val="18"/>
          <w:lang w:val="id-ID"/>
        </w:rPr>
        <w:tab/>
      </w:r>
      <w:r w:rsidRPr="007A5CB8">
        <w:rPr>
          <w:rStyle w:val="FootnoteReference"/>
          <w:sz w:val="18"/>
          <w:szCs w:val="18"/>
        </w:rPr>
        <w:footnoteRef/>
      </w:r>
      <w:r w:rsidRPr="007A5CB8">
        <w:rPr>
          <w:i/>
          <w:iCs/>
          <w:sz w:val="18"/>
          <w:szCs w:val="18"/>
        </w:rPr>
        <w:t>Ibid.,</w:t>
      </w:r>
      <w:r w:rsidRPr="007A5CB8">
        <w:rPr>
          <w:sz w:val="18"/>
          <w:szCs w:val="18"/>
        </w:rPr>
        <w:t xml:space="preserve"> Pasal 84 Ayat (2), (3) dan (4).</w:t>
      </w:r>
    </w:p>
  </w:footnote>
  <w:footnote w:id="32">
    <w:p w:rsidR="00FE608F" w:rsidRDefault="00FE608F" w:rsidP="006E1506">
      <w:pPr>
        <w:pStyle w:val="NoSpacing"/>
        <w:rPr>
          <w:sz w:val="18"/>
          <w:szCs w:val="18"/>
        </w:rPr>
      </w:pPr>
      <w:r w:rsidRPr="007A5CB8">
        <w:rPr>
          <w:sz w:val="18"/>
          <w:szCs w:val="18"/>
          <w:lang w:val="id-ID"/>
        </w:rPr>
        <w:tab/>
      </w:r>
      <w:r w:rsidRPr="007A5CB8">
        <w:rPr>
          <w:rStyle w:val="FootnoteReference"/>
          <w:sz w:val="18"/>
          <w:szCs w:val="18"/>
        </w:rPr>
        <w:footnoteRef/>
      </w:r>
      <w:r w:rsidRPr="007A5CB8">
        <w:rPr>
          <w:sz w:val="18"/>
          <w:szCs w:val="18"/>
        </w:rPr>
        <w:t xml:space="preserve"> Saleh Ganim, </w:t>
      </w:r>
      <w:r w:rsidRPr="007A5CB8">
        <w:rPr>
          <w:i/>
          <w:iCs/>
          <w:sz w:val="18"/>
          <w:szCs w:val="18"/>
        </w:rPr>
        <w:t>Nusyuz</w:t>
      </w:r>
      <w:r w:rsidRPr="007A5CB8">
        <w:rPr>
          <w:sz w:val="18"/>
          <w:szCs w:val="18"/>
        </w:rPr>
        <w:t xml:space="preserve">, </w:t>
      </w:r>
      <w:r w:rsidR="0088125A">
        <w:rPr>
          <w:sz w:val="18"/>
          <w:szCs w:val="18"/>
        </w:rPr>
        <w:t>Jakarta : Gema Insani Press, 2004, h</w:t>
      </w:r>
      <w:r w:rsidRPr="007A5CB8">
        <w:rPr>
          <w:sz w:val="18"/>
          <w:szCs w:val="18"/>
        </w:rPr>
        <w:t>. 60.</w:t>
      </w:r>
    </w:p>
    <w:p w:rsidR="00AE5A60" w:rsidRPr="007A5CB8" w:rsidRDefault="00AE5A60" w:rsidP="006E1506">
      <w:pPr>
        <w:pStyle w:val="NoSpacing"/>
        <w:rPr>
          <w:sz w:val="18"/>
          <w:szCs w:val="18"/>
        </w:rPr>
      </w:pPr>
    </w:p>
  </w:footnote>
  <w:footnote w:id="33">
    <w:p w:rsidR="00FE608F" w:rsidRPr="007A5CB8" w:rsidRDefault="00FE608F" w:rsidP="006E1506">
      <w:pPr>
        <w:pStyle w:val="NoSpacing"/>
        <w:rPr>
          <w:i/>
          <w:iCs/>
          <w:sz w:val="18"/>
          <w:szCs w:val="18"/>
        </w:rPr>
      </w:pPr>
      <w:r w:rsidRPr="007A5CB8">
        <w:rPr>
          <w:sz w:val="18"/>
          <w:szCs w:val="18"/>
          <w:lang w:val="id-ID"/>
        </w:rPr>
        <w:tab/>
      </w:r>
      <w:r w:rsidRPr="007A5CB8">
        <w:rPr>
          <w:rStyle w:val="FootnoteReference"/>
          <w:sz w:val="18"/>
          <w:szCs w:val="18"/>
        </w:rPr>
        <w:footnoteRef/>
      </w:r>
      <w:r w:rsidRPr="007A5CB8">
        <w:rPr>
          <w:i/>
          <w:iCs/>
          <w:sz w:val="18"/>
          <w:szCs w:val="18"/>
        </w:rPr>
        <w:t>Ibid.,</w:t>
      </w:r>
      <w:r w:rsidRPr="007A5CB8">
        <w:rPr>
          <w:sz w:val="18"/>
          <w:szCs w:val="18"/>
        </w:rPr>
        <w:t>hlm. 61.</w:t>
      </w:r>
    </w:p>
  </w:footnote>
  <w:footnote w:id="34">
    <w:p w:rsidR="00FE608F" w:rsidRPr="007A5CB8" w:rsidRDefault="00FE608F" w:rsidP="006E1506">
      <w:pPr>
        <w:pStyle w:val="NoSpacing"/>
        <w:rPr>
          <w:sz w:val="18"/>
          <w:szCs w:val="18"/>
        </w:rPr>
      </w:pPr>
      <w:r w:rsidRPr="007A5CB8">
        <w:rPr>
          <w:sz w:val="18"/>
          <w:szCs w:val="18"/>
          <w:lang w:val="id-ID"/>
        </w:rPr>
        <w:tab/>
      </w:r>
      <w:r w:rsidRPr="007A5CB8">
        <w:rPr>
          <w:rStyle w:val="FootnoteReference"/>
          <w:sz w:val="18"/>
          <w:szCs w:val="18"/>
        </w:rPr>
        <w:footnoteRef/>
      </w:r>
      <w:r w:rsidRPr="007A5CB8">
        <w:rPr>
          <w:sz w:val="18"/>
          <w:szCs w:val="18"/>
        </w:rPr>
        <w:t xml:space="preserve"> Nurjannah, </w:t>
      </w:r>
      <w:r w:rsidRPr="007A5CB8">
        <w:rPr>
          <w:i/>
          <w:iCs/>
          <w:sz w:val="18"/>
          <w:szCs w:val="18"/>
        </w:rPr>
        <w:t>Perempuan Dalam Pasungan; Bias Laki-laki Dalam Penafsiran,</w:t>
      </w:r>
      <w:r w:rsidRPr="007A5CB8">
        <w:rPr>
          <w:sz w:val="18"/>
          <w:szCs w:val="18"/>
        </w:rPr>
        <w:t>cet. I, (Yogyakarta: LkiS, 2003), hlm. 279.</w:t>
      </w:r>
    </w:p>
  </w:footnote>
  <w:footnote w:id="35">
    <w:p w:rsidR="00FE608F" w:rsidRPr="007A5CB8" w:rsidRDefault="00FE608F" w:rsidP="006E1506">
      <w:pPr>
        <w:pStyle w:val="NoSpacing"/>
        <w:rPr>
          <w:sz w:val="18"/>
          <w:szCs w:val="18"/>
        </w:rPr>
      </w:pPr>
      <w:r w:rsidRPr="007A5CB8">
        <w:rPr>
          <w:sz w:val="18"/>
          <w:szCs w:val="18"/>
          <w:lang w:val="id-ID"/>
        </w:rPr>
        <w:tab/>
      </w:r>
      <w:r w:rsidRPr="007A5CB8">
        <w:rPr>
          <w:rStyle w:val="FootnoteReference"/>
          <w:sz w:val="18"/>
          <w:szCs w:val="18"/>
        </w:rPr>
        <w:footnoteRef/>
      </w:r>
      <w:r w:rsidRPr="005E0358">
        <w:rPr>
          <w:sz w:val="18"/>
          <w:szCs w:val="18"/>
          <w:lang w:val="id-ID"/>
        </w:rPr>
        <w:t xml:space="preserve"> Forum Kajian Kitab Kuning (FK3), </w:t>
      </w:r>
      <w:r w:rsidRPr="005E0358">
        <w:rPr>
          <w:i/>
          <w:iCs/>
          <w:sz w:val="18"/>
          <w:szCs w:val="18"/>
          <w:lang w:val="id-ID"/>
        </w:rPr>
        <w:t>Wajah Baru Relasi Suami-Isteri; Tela’ah Kitab Uqud al-Lujjayn,</w:t>
      </w:r>
      <w:r w:rsidRPr="005E0358">
        <w:rPr>
          <w:sz w:val="18"/>
          <w:szCs w:val="18"/>
          <w:lang w:val="id-ID"/>
        </w:rPr>
        <w:t xml:space="preserve">cet. </w:t>
      </w:r>
      <w:r w:rsidRPr="007A5CB8">
        <w:rPr>
          <w:sz w:val="18"/>
          <w:szCs w:val="18"/>
        </w:rPr>
        <w:t>I, (Yogyakarta: LKiS, 2001), hlm. 52.</w:t>
      </w:r>
    </w:p>
  </w:footnote>
  <w:footnote w:id="36">
    <w:p w:rsidR="00FE608F" w:rsidRDefault="00FE608F" w:rsidP="006E1506">
      <w:pPr>
        <w:pStyle w:val="NoSpacing"/>
        <w:rPr>
          <w:sz w:val="18"/>
          <w:szCs w:val="18"/>
        </w:rPr>
      </w:pPr>
      <w:r w:rsidRPr="007A5CB8">
        <w:rPr>
          <w:sz w:val="18"/>
          <w:szCs w:val="18"/>
          <w:lang w:val="id-ID"/>
        </w:rPr>
        <w:tab/>
      </w:r>
      <w:r w:rsidRPr="007A5CB8">
        <w:rPr>
          <w:rStyle w:val="FootnoteReference"/>
          <w:sz w:val="18"/>
          <w:szCs w:val="18"/>
        </w:rPr>
        <w:footnoteRef/>
      </w:r>
      <w:r w:rsidRPr="007A5CB8">
        <w:rPr>
          <w:sz w:val="18"/>
          <w:szCs w:val="18"/>
        </w:rPr>
        <w:t xml:space="preserve"> Isa Ansari, </w:t>
      </w:r>
      <w:r w:rsidRPr="007A5CB8">
        <w:rPr>
          <w:i/>
          <w:iCs/>
          <w:sz w:val="18"/>
          <w:szCs w:val="18"/>
        </w:rPr>
        <w:t>“Nusyuz</w:t>
      </w:r>
      <w:r w:rsidRPr="007A5CB8">
        <w:rPr>
          <w:sz w:val="18"/>
          <w:szCs w:val="18"/>
        </w:rPr>
        <w:t xml:space="preserve"> Sebagai Alasan Penolakan Memberi Nafkah (Studi Analisis Terhadap Putusan PA. Sleman),” Skripsi UIN Sunan Kalijaga Yogyakarta, (1997), hlm. 111.</w:t>
      </w:r>
    </w:p>
    <w:p w:rsidR="00AE5A60" w:rsidRPr="007A5CB8" w:rsidRDefault="00AE5A60" w:rsidP="006E1506">
      <w:pPr>
        <w:pStyle w:val="NoSpacing"/>
        <w:rPr>
          <w:sz w:val="18"/>
          <w:szCs w:val="18"/>
        </w:rPr>
      </w:pPr>
    </w:p>
  </w:footnote>
  <w:footnote w:id="37">
    <w:p w:rsidR="00FE608F" w:rsidRPr="007A5CB8" w:rsidRDefault="00FE608F" w:rsidP="006E1506">
      <w:pPr>
        <w:pStyle w:val="NoSpacing"/>
        <w:rPr>
          <w:sz w:val="18"/>
          <w:szCs w:val="18"/>
        </w:rPr>
      </w:pPr>
      <w:r w:rsidRPr="007A5CB8">
        <w:rPr>
          <w:sz w:val="18"/>
          <w:szCs w:val="18"/>
          <w:lang w:val="id-ID"/>
        </w:rPr>
        <w:tab/>
      </w:r>
      <w:r w:rsidRPr="007A5CB8">
        <w:rPr>
          <w:rStyle w:val="FootnoteReference"/>
          <w:sz w:val="18"/>
          <w:szCs w:val="18"/>
        </w:rPr>
        <w:footnoteRef/>
      </w:r>
      <w:r w:rsidRPr="007A5CB8">
        <w:rPr>
          <w:sz w:val="18"/>
          <w:szCs w:val="18"/>
        </w:rPr>
        <w:t xml:space="preserve">Wahid Hasyim, “Korelasi </w:t>
      </w:r>
      <w:r w:rsidRPr="007A5CB8">
        <w:rPr>
          <w:i/>
          <w:iCs/>
          <w:sz w:val="18"/>
          <w:szCs w:val="18"/>
        </w:rPr>
        <w:t>Nusyuz</w:t>
      </w:r>
      <w:r w:rsidRPr="007A5CB8">
        <w:rPr>
          <w:sz w:val="18"/>
          <w:szCs w:val="18"/>
        </w:rPr>
        <w:t xml:space="preserve"> Dengan Kekerasan Terhadap Isteri; Studi Kasus Di Rifka Annisa’ Women’s Crisis Center Yogyakarta,” Skripsi UIN Sunan Kalijaga Yogyakarta, (2002), hlm. 76.</w:t>
      </w:r>
    </w:p>
  </w:footnote>
  <w:footnote w:id="38">
    <w:p w:rsidR="00FE608F" w:rsidRDefault="00FE608F" w:rsidP="006E1506">
      <w:pPr>
        <w:pStyle w:val="NoSpacing"/>
        <w:rPr>
          <w:sz w:val="18"/>
          <w:szCs w:val="18"/>
        </w:rPr>
      </w:pPr>
      <w:r w:rsidRPr="007A5CB8">
        <w:rPr>
          <w:sz w:val="18"/>
          <w:szCs w:val="18"/>
          <w:lang w:val="id-ID"/>
        </w:rPr>
        <w:tab/>
      </w:r>
      <w:r w:rsidRPr="007A5CB8">
        <w:rPr>
          <w:rStyle w:val="FootnoteReference"/>
          <w:sz w:val="18"/>
          <w:szCs w:val="18"/>
        </w:rPr>
        <w:footnoteRef/>
      </w:r>
      <w:r w:rsidRPr="007A5CB8">
        <w:rPr>
          <w:sz w:val="18"/>
          <w:szCs w:val="18"/>
        </w:rPr>
        <w:t xml:space="preserve"> Nailis Sa’adah, </w:t>
      </w:r>
      <w:r w:rsidRPr="007A5CB8">
        <w:rPr>
          <w:i/>
          <w:iCs/>
          <w:sz w:val="18"/>
          <w:szCs w:val="18"/>
        </w:rPr>
        <w:t>“Nusyuz</w:t>
      </w:r>
      <w:r w:rsidRPr="007A5CB8">
        <w:rPr>
          <w:sz w:val="18"/>
          <w:szCs w:val="18"/>
        </w:rPr>
        <w:t xml:space="preserve"> Dalam Pandangan Amina Wadud Dan Relasinya Dengan Upaya Penghapusan Kekerasan Terhadap Isteri,” Skripsi UIN Sunan Kalijga Yogyakarta, (2002), hlm. 63.</w:t>
      </w:r>
    </w:p>
    <w:p w:rsidR="00AE5A60" w:rsidRPr="007A5CB8" w:rsidRDefault="00AE5A60" w:rsidP="006E1506">
      <w:pPr>
        <w:pStyle w:val="NoSpacing"/>
        <w:rPr>
          <w:sz w:val="18"/>
          <w:szCs w:val="18"/>
        </w:rPr>
      </w:pPr>
    </w:p>
  </w:footnote>
  <w:footnote w:id="39">
    <w:p w:rsidR="00FE608F" w:rsidRPr="007A5CB8" w:rsidRDefault="00FE608F" w:rsidP="006E1506">
      <w:pPr>
        <w:pStyle w:val="NoSpacing"/>
        <w:rPr>
          <w:sz w:val="18"/>
          <w:szCs w:val="18"/>
        </w:rPr>
      </w:pPr>
      <w:r w:rsidRPr="007A5CB8">
        <w:rPr>
          <w:sz w:val="18"/>
          <w:szCs w:val="18"/>
          <w:lang w:val="id-ID"/>
        </w:rPr>
        <w:tab/>
      </w:r>
      <w:r w:rsidRPr="007A5CB8">
        <w:rPr>
          <w:rStyle w:val="FootnoteReference"/>
          <w:sz w:val="18"/>
          <w:szCs w:val="18"/>
        </w:rPr>
        <w:footnoteRef/>
      </w:r>
      <w:r w:rsidRPr="007A5CB8">
        <w:rPr>
          <w:sz w:val="18"/>
          <w:szCs w:val="18"/>
        </w:rPr>
        <w:t xml:space="preserve"> Lindra Darnela, “Studi Terhadap Pendapat Ibn Hazm Tentang Nafkah Isteri </w:t>
      </w:r>
      <w:r w:rsidRPr="007A5CB8">
        <w:rPr>
          <w:i/>
          <w:iCs/>
          <w:sz w:val="18"/>
          <w:szCs w:val="18"/>
        </w:rPr>
        <w:t xml:space="preserve">Nusyuz”, </w:t>
      </w:r>
      <w:r w:rsidRPr="007A5CB8">
        <w:rPr>
          <w:sz w:val="18"/>
          <w:szCs w:val="18"/>
        </w:rPr>
        <w:t xml:space="preserve"> Skripsi UIN Sunan Kalijaga Yogyakarta, (2000), hlm. 108.</w:t>
      </w:r>
    </w:p>
  </w:footnote>
  <w:footnote w:id="40">
    <w:p w:rsidR="00FE608F" w:rsidRPr="007A5CB8" w:rsidRDefault="00FE608F" w:rsidP="006E1506">
      <w:pPr>
        <w:pStyle w:val="NoSpacing"/>
        <w:rPr>
          <w:sz w:val="18"/>
          <w:szCs w:val="18"/>
        </w:rPr>
      </w:pPr>
      <w:r w:rsidRPr="007A5CB8">
        <w:rPr>
          <w:sz w:val="18"/>
          <w:szCs w:val="18"/>
          <w:lang w:val="id-ID"/>
        </w:rPr>
        <w:tab/>
      </w:r>
      <w:r w:rsidRPr="007A5CB8">
        <w:rPr>
          <w:rStyle w:val="FootnoteReference"/>
          <w:sz w:val="18"/>
          <w:szCs w:val="18"/>
        </w:rPr>
        <w:footnoteRef/>
      </w:r>
      <w:r w:rsidRPr="007A5CB8">
        <w:rPr>
          <w:sz w:val="18"/>
          <w:szCs w:val="18"/>
        </w:rPr>
        <w:t xml:space="preserve"> Aroma Elmina Marta, </w:t>
      </w:r>
      <w:r w:rsidRPr="007A5CB8">
        <w:rPr>
          <w:i/>
          <w:iCs/>
          <w:sz w:val="18"/>
          <w:szCs w:val="18"/>
        </w:rPr>
        <w:t>Perempuan Kekerasan dan Hukum</w:t>
      </w:r>
      <w:r w:rsidRPr="007A5CB8">
        <w:rPr>
          <w:sz w:val="18"/>
          <w:szCs w:val="18"/>
        </w:rPr>
        <w:t>, cet. I, (Yogyakarta: UII Press, 2003), hlm. 54.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4830"/>
      <w:docPartObj>
        <w:docPartGallery w:val="Page Numbers (Top of Page)"/>
        <w:docPartUnique/>
      </w:docPartObj>
    </w:sdtPr>
    <w:sdtContent>
      <w:p w:rsidR="00391CB8" w:rsidRPr="004F5F4E" w:rsidRDefault="000E0C5C" w:rsidP="004F5F4E">
        <w:pPr>
          <w:pStyle w:val="Header"/>
          <w:jc w:val="right"/>
          <w:rPr>
            <w:lang w:val="id-ID"/>
          </w:rPr>
        </w:pPr>
        <w:r>
          <w:fldChar w:fldCharType="begin"/>
        </w:r>
        <w:r w:rsidR="002A61C7">
          <w:instrText xml:space="preserve"> PAGE   \* MERGEFORMAT </w:instrText>
        </w:r>
        <w:r>
          <w:fldChar w:fldCharType="separate"/>
        </w:r>
        <w:r w:rsidR="004F5F4E">
          <w:rPr>
            <w:noProof/>
          </w:rPr>
          <w:t>25</w:t>
        </w:r>
        <w:r>
          <w:rPr>
            <w:noProof/>
          </w:rPr>
          <w:fldChar w:fldCharType="end"/>
        </w:r>
      </w:p>
    </w:sdtContent>
  </w:sdt>
  <w:p w:rsidR="00FE608F" w:rsidRDefault="00FE60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169"/>
    <w:multiLevelType w:val="hybridMultilevel"/>
    <w:tmpl w:val="21AC1C4E"/>
    <w:lvl w:ilvl="0" w:tplc="04090011">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
    <w:nsid w:val="047B0AF6"/>
    <w:multiLevelType w:val="hybridMultilevel"/>
    <w:tmpl w:val="82185426"/>
    <w:lvl w:ilvl="0" w:tplc="0E80B336">
      <w:start w:val="1"/>
      <w:numFmt w:val="decimal"/>
      <w:lvlText w:val="%1."/>
      <w:lvlJc w:val="left"/>
      <w:pPr>
        <w:tabs>
          <w:tab w:val="num" w:pos="1080"/>
        </w:tabs>
        <w:ind w:left="1080" w:hanging="360"/>
      </w:pPr>
      <w:rPr>
        <w:rFonts w:hint="default"/>
      </w:rPr>
    </w:lvl>
    <w:lvl w:ilvl="1" w:tplc="98D0FDD4">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D5219A"/>
    <w:multiLevelType w:val="hybridMultilevel"/>
    <w:tmpl w:val="4A724FE0"/>
    <w:lvl w:ilvl="0" w:tplc="04090019">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3">
    <w:nsid w:val="0B252D82"/>
    <w:multiLevelType w:val="hybridMultilevel"/>
    <w:tmpl w:val="5AB2D0B6"/>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C3C2A78"/>
    <w:multiLevelType w:val="hybridMultilevel"/>
    <w:tmpl w:val="957E958C"/>
    <w:lvl w:ilvl="0" w:tplc="04090019">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5">
    <w:nsid w:val="43CC3B26"/>
    <w:multiLevelType w:val="hybridMultilevel"/>
    <w:tmpl w:val="BD004D80"/>
    <w:lvl w:ilvl="0" w:tplc="04090011">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6">
    <w:nsid w:val="4FB11293"/>
    <w:multiLevelType w:val="hybridMultilevel"/>
    <w:tmpl w:val="93B4D236"/>
    <w:lvl w:ilvl="0" w:tplc="5E60E828">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764"/>
        </w:tabs>
        <w:ind w:left="1764" w:hanging="6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66639C"/>
    <w:multiLevelType w:val="hybridMultilevel"/>
    <w:tmpl w:val="2E6AFC80"/>
    <w:lvl w:ilvl="0" w:tplc="AD5C0D0C">
      <w:start w:val="1"/>
      <w:numFmt w:val="decimal"/>
      <w:lvlText w:val="%1."/>
      <w:lvlJc w:val="left"/>
      <w:pPr>
        <w:ind w:left="1800" w:hanging="360"/>
      </w:pPr>
      <w:rPr>
        <w:rFonts w:ascii="Times New Roman" w:hAnsi="Times New Roman"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F4BDA"/>
    <w:rsid w:val="000117C1"/>
    <w:rsid w:val="000249A8"/>
    <w:rsid w:val="000437BC"/>
    <w:rsid w:val="00082A60"/>
    <w:rsid w:val="00092FAB"/>
    <w:rsid w:val="000A4BC0"/>
    <w:rsid w:val="000B4EF1"/>
    <w:rsid w:val="000D5C09"/>
    <w:rsid w:val="000E0C5C"/>
    <w:rsid w:val="00102FE5"/>
    <w:rsid w:val="00110758"/>
    <w:rsid w:val="001346B8"/>
    <w:rsid w:val="00143C90"/>
    <w:rsid w:val="001B7323"/>
    <w:rsid w:val="001F1DE8"/>
    <w:rsid w:val="00270115"/>
    <w:rsid w:val="002A1913"/>
    <w:rsid w:val="002A61C7"/>
    <w:rsid w:val="002B203D"/>
    <w:rsid w:val="0033152A"/>
    <w:rsid w:val="00391CB8"/>
    <w:rsid w:val="003C77E6"/>
    <w:rsid w:val="003E2FBF"/>
    <w:rsid w:val="003F235E"/>
    <w:rsid w:val="0042553D"/>
    <w:rsid w:val="00467260"/>
    <w:rsid w:val="004A0899"/>
    <w:rsid w:val="004C3263"/>
    <w:rsid w:val="004C5FE0"/>
    <w:rsid w:val="004D254B"/>
    <w:rsid w:val="004E0264"/>
    <w:rsid w:val="004F5F4E"/>
    <w:rsid w:val="005018E1"/>
    <w:rsid w:val="00527B34"/>
    <w:rsid w:val="005613DD"/>
    <w:rsid w:val="00573417"/>
    <w:rsid w:val="00573984"/>
    <w:rsid w:val="005E0358"/>
    <w:rsid w:val="00603AA4"/>
    <w:rsid w:val="00635D6B"/>
    <w:rsid w:val="00654ED1"/>
    <w:rsid w:val="00663750"/>
    <w:rsid w:val="006941D4"/>
    <w:rsid w:val="006D1088"/>
    <w:rsid w:val="006E1506"/>
    <w:rsid w:val="006E5FAA"/>
    <w:rsid w:val="006F6554"/>
    <w:rsid w:val="00700594"/>
    <w:rsid w:val="00751E07"/>
    <w:rsid w:val="007A5CB8"/>
    <w:rsid w:val="007F4BDA"/>
    <w:rsid w:val="0083616A"/>
    <w:rsid w:val="00867675"/>
    <w:rsid w:val="0088125A"/>
    <w:rsid w:val="00964749"/>
    <w:rsid w:val="00973524"/>
    <w:rsid w:val="00975813"/>
    <w:rsid w:val="00976B95"/>
    <w:rsid w:val="009F26A8"/>
    <w:rsid w:val="00A21FAC"/>
    <w:rsid w:val="00A23221"/>
    <w:rsid w:val="00A472BB"/>
    <w:rsid w:val="00A542E7"/>
    <w:rsid w:val="00A75566"/>
    <w:rsid w:val="00A849E9"/>
    <w:rsid w:val="00AE5A60"/>
    <w:rsid w:val="00AF2395"/>
    <w:rsid w:val="00AF458B"/>
    <w:rsid w:val="00B170EC"/>
    <w:rsid w:val="00B41C72"/>
    <w:rsid w:val="00B5669E"/>
    <w:rsid w:val="00B575C3"/>
    <w:rsid w:val="00B7193D"/>
    <w:rsid w:val="00BB7472"/>
    <w:rsid w:val="00C06ACA"/>
    <w:rsid w:val="00C21878"/>
    <w:rsid w:val="00C6666E"/>
    <w:rsid w:val="00CA13F3"/>
    <w:rsid w:val="00CC4082"/>
    <w:rsid w:val="00D04774"/>
    <w:rsid w:val="00D25DCA"/>
    <w:rsid w:val="00D46827"/>
    <w:rsid w:val="00D47606"/>
    <w:rsid w:val="00D61D3E"/>
    <w:rsid w:val="00D62B3D"/>
    <w:rsid w:val="00D76B36"/>
    <w:rsid w:val="00DF1F59"/>
    <w:rsid w:val="00E36745"/>
    <w:rsid w:val="00E42E68"/>
    <w:rsid w:val="00E52420"/>
    <w:rsid w:val="00F15D50"/>
    <w:rsid w:val="00F41A96"/>
    <w:rsid w:val="00FC1C5E"/>
    <w:rsid w:val="00FC47F3"/>
    <w:rsid w:val="00FE608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4BDA"/>
    <w:pPr>
      <w:keepNext/>
      <w:spacing w:line="360" w:lineRule="auto"/>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BDA"/>
    <w:rPr>
      <w:rFonts w:ascii="Times New Roman" w:eastAsia="Times New Roman" w:hAnsi="Times New Roman" w:cs="Times New Roman"/>
      <w:sz w:val="24"/>
      <w:szCs w:val="24"/>
      <w:u w:val="single"/>
    </w:rPr>
  </w:style>
  <w:style w:type="paragraph" w:styleId="Title">
    <w:name w:val="Title"/>
    <w:basedOn w:val="Normal"/>
    <w:link w:val="TitleChar"/>
    <w:qFormat/>
    <w:rsid w:val="007F4BDA"/>
    <w:pPr>
      <w:spacing w:line="360" w:lineRule="auto"/>
      <w:jc w:val="center"/>
    </w:pPr>
    <w:rPr>
      <w:b/>
      <w:bCs/>
    </w:rPr>
  </w:style>
  <w:style w:type="character" w:customStyle="1" w:styleId="TitleChar">
    <w:name w:val="Title Char"/>
    <w:basedOn w:val="DefaultParagraphFont"/>
    <w:link w:val="Title"/>
    <w:rsid w:val="007F4BDA"/>
    <w:rPr>
      <w:rFonts w:ascii="Times New Roman" w:eastAsia="Times New Roman" w:hAnsi="Times New Roman" w:cs="Times New Roman"/>
      <w:b/>
      <w:bCs/>
      <w:sz w:val="24"/>
      <w:szCs w:val="24"/>
    </w:rPr>
  </w:style>
  <w:style w:type="paragraph" w:styleId="BodyTextIndent">
    <w:name w:val="Body Text Indent"/>
    <w:basedOn w:val="Normal"/>
    <w:link w:val="BodyTextIndentChar"/>
    <w:rsid w:val="007F4BDA"/>
    <w:pPr>
      <w:spacing w:after="120"/>
      <w:ind w:left="360"/>
    </w:pPr>
  </w:style>
  <w:style w:type="character" w:customStyle="1" w:styleId="BodyTextIndentChar">
    <w:name w:val="Body Text Indent Char"/>
    <w:basedOn w:val="DefaultParagraphFont"/>
    <w:link w:val="BodyTextIndent"/>
    <w:rsid w:val="007F4BDA"/>
    <w:rPr>
      <w:rFonts w:ascii="Times New Roman" w:eastAsia="Times New Roman" w:hAnsi="Times New Roman" w:cs="Times New Roman"/>
      <w:sz w:val="24"/>
      <w:szCs w:val="24"/>
    </w:rPr>
  </w:style>
  <w:style w:type="paragraph" w:styleId="FootnoteText">
    <w:name w:val="footnote text"/>
    <w:basedOn w:val="Normal"/>
    <w:link w:val="FootnoteTextChar"/>
    <w:semiHidden/>
    <w:rsid w:val="007F4BDA"/>
    <w:rPr>
      <w:sz w:val="20"/>
      <w:szCs w:val="20"/>
    </w:rPr>
  </w:style>
  <w:style w:type="character" w:customStyle="1" w:styleId="FootnoteTextChar">
    <w:name w:val="Footnote Text Char"/>
    <w:basedOn w:val="DefaultParagraphFont"/>
    <w:link w:val="FootnoteText"/>
    <w:semiHidden/>
    <w:rsid w:val="007F4BDA"/>
    <w:rPr>
      <w:rFonts w:ascii="Times New Roman" w:eastAsia="Times New Roman" w:hAnsi="Times New Roman" w:cs="Times New Roman"/>
      <w:sz w:val="20"/>
      <w:szCs w:val="20"/>
    </w:rPr>
  </w:style>
  <w:style w:type="character" w:styleId="FootnoteReference">
    <w:name w:val="footnote reference"/>
    <w:basedOn w:val="DefaultParagraphFont"/>
    <w:semiHidden/>
    <w:rsid w:val="007F4BDA"/>
    <w:rPr>
      <w:vertAlign w:val="superscript"/>
    </w:rPr>
  </w:style>
  <w:style w:type="paragraph" w:styleId="Subtitle">
    <w:name w:val="Subtitle"/>
    <w:basedOn w:val="Normal"/>
    <w:link w:val="SubtitleChar"/>
    <w:qFormat/>
    <w:rsid w:val="007F4BDA"/>
    <w:pPr>
      <w:spacing w:line="480" w:lineRule="auto"/>
      <w:jc w:val="center"/>
    </w:pPr>
    <w:rPr>
      <w:b/>
      <w:bCs/>
    </w:rPr>
  </w:style>
  <w:style w:type="character" w:customStyle="1" w:styleId="SubtitleChar">
    <w:name w:val="Subtitle Char"/>
    <w:basedOn w:val="DefaultParagraphFont"/>
    <w:link w:val="Subtitle"/>
    <w:rsid w:val="007F4BDA"/>
    <w:rPr>
      <w:rFonts w:ascii="Times New Roman" w:eastAsia="Times New Roman" w:hAnsi="Times New Roman" w:cs="Times New Roman"/>
      <w:b/>
      <w:bCs/>
      <w:sz w:val="24"/>
      <w:szCs w:val="24"/>
    </w:rPr>
  </w:style>
  <w:style w:type="paragraph" w:styleId="ListParagraph">
    <w:name w:val="List Paragraph"/>
    <w:basedOn w:val="Normal"/>
    <w:uiPriority w:val="34"/>
    <w:qFormat/>
    <w:rsid w:val="007F4BDA"/>
    <w:pPr>
      <w:ind w:left="720"/>
      <w:contextualSpacing/>
    </w:pPr>
  </w:style>
  <w:style w:type="paragraph" w:styleId="Header">
    <w:name w:val="header"/>
    <w:basedOn w:val="Normal"/>
    <w:link w:val="HeaderChar"/>
    <w:uiPriority w:val="99"/>
    <w:unhideWhenUsed/>
    <w:rsid w:val="00B41C72"/>
    <w:pPr>
      <w:tabs>
        <w:tab w:val="center" w:pos="4680"/>
        <w:tab w:val="right" w:pos="9360"/>
      </w:tabs>
    </w:pPr>
  </w:style>
  <w:style w:type="character" w:customStyle="1" w:styleId="HeaderChar">
    <w:name w:val="Header Char"/>
    <w:basedOn w:val="DefaultParagraphFont"/>
    <w:link w:val="Header"/>
    <w:uiPriority w:val="99"/>
    <w:rsid w:val="00B41C7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41C72"/>
    <w:pPr>
      <w:tabs>
        <w:tab w:val="center" w:pos="4680"/>
        <w:tab w:val="right" w:pos="9360"/>
      </w:tabs>
    </w:pPr>
  </w:style>
  <w:style w:type="character" w:customStyle="1" w:styleId="FooterChar">
    <w:name w:val="Footer Char"/>
    <w:basedOn w:val="DefaultParagraphFont"/>
    <w:link w:val="Footer"/>
    <w:uiPriority w:val="99"/>
    <w:semiHidden/>
    <w:rsid w:val="00B41C72"/>
    <w:rPr>
      <w:rFonts w:ascii="Times New Roman" w:eastAsia="Times New Roman" w:hAnsi="Times New Roman" w:cs="Times New Roman"/>
      <w:sz w:val="24"/>
      <w:szCs w:val="24"/>
    </w:rPr>
  </w:style>
  <w:style w:type="paragraph" w:styleId="NoSpacing">
    <w:name w:val="No Spacing"/>
    <w:uiPriority w:val="1"/>
    <w:qFormat/>
    <w:rsid w:val="006E150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B8418-CC03-4BEB-938E-B4DE8B55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3698</Words>
  <Characters>21082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34</cp:revision>
  <cp:lastPrinted>2015-08-26T14:16:00Z</cp:lastPrinted>
  <dcterms:created xsi:type="dcterms:W3CDTF">2015-08-09T12:56:00Z</dcterms:created>
  <dcterms:modified xsi:type="dcterms:W3CDTF">2017-03-19T13:57:00Z</dcterms:modified>
</cp:coreProperties>
</file>