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1" w:rsidRPr="00EF2B8C" w:rsidRDefault="00B94601" w:rsidP="00B9460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2B8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Abi, </w:t>
      </w:r>
      <w:r w:rsidRPr="00D34D04">
        <w:rPr>
          <w:rFonts w:asciiTheme="majorBidi" w:hAnsiTheme="majorBidi" w:cstheme="majorBidi"/>
          <w:sz w:val="24"/>
          <w:szCs w:val="24"/>
          <w:lang w:val="id-ID"/>
        </w:rPr>
        <w:t xml:space="preserve">Al-Imam Abdillah Muhammad ibnu Ismail, inbu Ibrahim ibnu al-Mugirah ibu Bardizbah al-Bukhari al-Ja’fi, </w:t>
      </w:r>
      <w:r w:rsidRPr="00D34D04">
        <w:rPr>
          <w:rFonts w:asciiTheme="majorBidi" w:hAnsiTheme="majorBidi" w:cstheme="majorBidi"/>
          <w:i/>
          <w:iCs/>
          <w:sz w:val="24"/>
          <w:szCs w:val="24"/>
          <w:lang w:val="id-ID"/>
        </w:rPr>
        <w:t>Shahih Bukhari,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Juz 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Dar al-Fikr, 1981</w:t>
      </w:r>
    </w:p>
    <w:p w:rsidR="00B94601" w:rsidRPr="00D91AD6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Ahmad, </w:t>
      </w:r>
      <w:r w:rsidRPr="00D34D04">
        <w:rPr>
          <w:rFonts w:asciiTheme="majorBidi" w:hAnsiTheme="majorBidi" w:cstheme="majorBidi"/>
          <w:sz w:val="24"/>
          <w:szCs w:val="24"/>
        </w:rPr>
        <w:t>A. Kadir, Dasar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-Dasar Metodologi Penelitian Kualitatif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Makas</w:t>
      </w:r>
      <w:r>
        <w:rPr>
          <w:rFonts w:asciiTheme="majorBidi" w:hAnsiTheme="majorBidi" w:cstheme="majorBidi"/>
          <w:sz w:val="24"/>
          <w:szCs w:val="24"/>
        </w:rPr>
        <w:t>sar: Indobis Media Centre, 2003.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Ahmadi, </w:t>
      </w:r>
      <w:r w:rsidRPr="00D34D04">
        <w:rPr>
          <w:rFonts w:asciiTheme="majorBidi" w:hAnsiTheme="majorBidi" w:cstheme="majorBidi"/>
          <w:sz w:val="24"/>
          <w:szCs w:val="24"/>
        </w:rPr>
        <w:t xml:space="preserve">Abu dan Widodo Supriyono,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</w:t>
      </w:r>
      <w:r>
        <w:rPr>
          <w:rFonts w:asciiTheme="majorBidi" w:hAnsiTheme="majorBidi" w:cstheme="majorBidi"/>
          <w:sz w:val="24"/>
          <w:szCs w:val="24"/>
        </w:rPr>
        <w:t xml:space="preserve"> I; Jakarta: Rineka Cipta, 1991.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Alma, </w:t>
      </w:r>
      <w:r w:rsidRPr="00D34D04">
        <w:rPr>
          <w:rFonts w:asciiTheme="majorBidi" w:hAnsiTheme="majorBidi" w:cstheme="majorBidi"/>
          <w:sz w:val="24"/>
          <w:szCs w:val="24"/>
        </w:rPr>
        <w:t xml:space="preserve">Bukhari, et al.,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Guru Profesional Menguasai Metode dan Terampil Mengajar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Bandung: Alfabeta, 2009.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Ardiansyah, </w:t>
      </w:r>
      <w:r w:rsidRPr="00D34D04">
        <w:rPr>
          <w:rFonts w:asciiTheme="majorBidi" w:hAnsiTheme="majorBidi" w:cstheme="majorBidi"/>
          <w:sz w:val="24"/>
          <w:szCs w:val="24"/>
        </w:rPr>
        <w:t>M. Asrori, “Pengertian Pendidikan Agama Islam” www. K</w:t>
      </w:r>
      <w:r>
        <w:rPr>
          <w:rFonts w:asciiTheme="majorBidi" w:hAnsiTheme="majorBidi" w:cstheme="majorBidi"/>
          <w:sz w:val="24"/>
          <w:szCs w:val="24"/>
        </w:rPr>
        <w:t>abar pendidikan. Blogspot. com, 27 Januari 2012</w:t>
      </w:r>
      <w:r w:rsidRPr="00D34D04">
        <w:rPr>
          <w:rFonts w:asciiTheme="majorBidi" w:hAnsiTheme="majorBidi" w:cstheme="majorBidi"/>
          <w:sz w:val="24"/>
          <w:szCs w:val="24"/>
        </w:rPr>
        <w:t>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Aunurrahman,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III; Bandung: Alfabeta, 1009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Danim, </w:t>
      </w:r>
      <w:r w:rsidRPr="00D34D04">
        <w:rPr>
          <w:rFonts w:asciiTheme="majorBidi" w:hAnsiTheme="majorBidi" w:cstheme="majorBidi"/>
          <w:sz w:val="24"/>
          <w:szCs w:val="24"/>
        </w:rPr>
        <w:t xml:space="preserve">Sudarwan dan Khairil,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Profesi Kependidikan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Alfabeta, 2011.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Pedagogik, Andragogi, dan Heutagogi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Cet. I; Bandung Alfabeta, 2010.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Daradjat, </w:t>
      </w:r>
      <w:r w:rsidRPr="00D34D04">
        <w:rPr>
          <w:rFonts w:asciiTheme="majorBidi" w:hAnsiTheme="majorBidi" w:cstheme="majorBidi"/>
          <w:sz w:val="24"/>
          <w:szCs w:val="24"/>
        </w:rPr>
        <w:t xml:space="preserve">Zakiah,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Ilmu Pendidika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 xml:space="preserve">Cet. </w:t>
      </w:r>
      <w:r>
        <w:rPr>
          <w:rFonts w:asciiTheme="majorBidi" w:hAnsiTheme="majorBidi" w:cstheme="majorBidi"/>
          <w:sz w:val="24"/>
          <w:szCs w:val="24"/>
        </w:rPr>
        <w:t>VII; Jakarta: Bumi Aksara, 2008.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Kepribadian Guru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</w:t>
      </w:r>
      <w:r>
        <w:rPr>
          <w:rFonts w:asciiTheme="majorBidi" w:hAnsiTheme="majorBidi" w:cstheme="majorBidi"/>
          <w:sz w:val="24"/>
          <w:szCs w:val="24"/>
        </w:rPr>
        <w:t>V; Jakarta: Bulan Bintang, 2005.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Metode Khusus Pengajaran Agama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</w:t>
      </w:r>
      <w:r>
        <w:rPr>
          <w:rFonts w:asciiTheme="majorBidi" w:hAnsiTheme="majorBidi" w:cstheme="majorBidi"/>
          <w:sz w:val="24"/>
          <w:szCs w:val="24"/>
        </w:rPr>
        <w:t xml:space="preserve"> IV; Jakarta: Bumi Aksara, 2008.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Darmadi, </w:t>
      </w:r>
      <w:r w:rsidRPr="00D34D04">
        <w:rPr>
          <w:rFonts w:asciiTheme="majorBidi" w:hAnsiTheme="majorBidi" w:cstheme="majorBidi"/>
          <w:sz w:val="24"/>
          <w:szCs w:val="24"/>
        </w:rPr>
        <w:t xml:space="preserve">Hamid,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Kemampuan Dasar Mengajar: Landasan Konsep dan Implementasi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Cet. I; Bandung: Alfabeta, 2009.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Daryanto,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Administrasi Pendidikan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</w:t>
      </w:r>
      <w:r>
        <w:rPr>
          <w:rFonts w:asciiTheme="majorBidi" w:hAnsiTheme="majorBidi" w:cstheme="majorBidi"/>
          <w:sz w:val="24"/>
          <w:szCs w:val="24"/>
        </w:rPr>
        <w:t>II; Jakarta: Rineka Cipta, 2005.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Kamus Besar Bahasa Indonesia,</w:t>
      </w:r>
      <w:r>
        <w:rPr>
          <w:rFonts w:asciiTheme="majorBidi" w:hAnsiTheme="majorBidi" w:cstheme="majorBidi"/>
          <w:sz w:val="24"/>
          <w:szCs w:val="24"/>
        </w:rPr>
        <w:t xml:space="preserve"> Edisi III, </w:t>
      </w:r>
      <w:r w:rsidRPr="00D34D04">
        <w:rPr>
          <w:rFonts w:asciiTheme="majorBidi" w:hAnsiTheme="majorBidi" w:cstheme="majorBidi"/>
          <w:sz w:val="24"/>
          <w:szCs w:val="24"/>
        </w:rPr>
        <w:t>Cet. II</w:t>
      </w:r>
      <w:r>
        <w:rPr>
          <w:rFonts w:asciiTheme="majorBidi" w:hAnsiTheme="majorBidi" w:cstheme="majorBidi"/>
          <w:sz w:val="24"/>
          <w:szCs w:val="24"/>
        </w:rPr>
        <w:t>I; Jakarta: Balai Pustaka, 2001.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Mulyasa,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Implementasi KTSP, Kemandirian Guru dan Kepala Sekolah,</w:t>
      </w:r>
      <w:r>
        <w:rPr>
          <w:rFonts w:asciiTheme="majorBidi" w:hAnsiTheme="majorBidi" w:cstheme="majorBidi"/>
          <w:sz w:val="24"/>
          <w:szCs w:val="24"/>
        </w:rPr>
        <w:t xml:space="preserve"> Ed. I, </w:t>
      </w:r>
      <w:r w:rsidRPr="00D34D04">
        <w:rPr>
          <w:rFonts w:asciiTheme="majorBidi" w:hAnsiTheme="majorBidi" w:cstheme="majorBidi"/>
          <w:sz w:val="24"/>
          <w:szCs w:val="24"/>
        </w:rPr>
        <w:t>Cet.</w:t>
      </w:r>
      <w:r>
        <w:rPr>
          <w:rFonts w:asciiTheme="majorBidi" w:hAnsiTheme="majorBidi" w:cstheme="majorBidi"/>
          <w:sz w:val="24"/>
          <w:szCs w:val="24"/>
        </w:rPr>
        <w:t xml:space="preserve"> I; Jakarta: Bumi Kasra, 2008.</w:t>
      </w:r>
    </w:p>
    <w:p w:rsidR="00B94601" w:rsidRPr="00D34D04" w:rsidRDefault="00B94601" w:rsidP="00B94601">
      <w:pPr>
        <w:pStyle w:val="Footnote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Kurukulum yang di Sempurnakan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II; B</w:t>
      </w:r>
      <w:r>
        <w:rPr>
          <w:rFonts w:asciiTheme="majorBidi" w:hAnsiTheme="majorBidi" w:cstheme="majorBidi"/>
          <w:sz w:val="24"/>
          <w:szCs w:val="24"/>
        </w:rPr>
        <w:t>andung: Remaja Rosdakarya, 2006.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StandarKompetensi dan Sertifikasi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</w:t>
      </w:r>
      <w:r>
        <w:rPr>
          <w:rFonts w:asciiTheme="majorBidi" w:hAnsiTheme="majorBidi" w:cstheme="majorBidi"/>
          <w:sz w:val="24"/>
          <w:szCs w:val="24"/>
        </w:rPr>
        <w:t>. IV; Bandung: Rosdakarya, 2009.</w:t>
      </w:r>
    </w:p>
    <w:p w:rsidR="00B94601" w:rsidRPr="00D34D04" w:rsidRDefault="00B94601" w:rsidP="00B94601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Getteng, </w:t>
      </w:r>
      <w:r w:rsidRPr="00D34D04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Menuju Guru Profesional dan beretika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V</w:t>
      </w:r>
      <w:r>
        <w:rPr>
          <w:rFonts w:asciiTheme="majorBidi" w:hAnsiTheme="majorBidi" w:cstheme="majorBidi"/>
          <w:sz w:val="24"/>
          <w:szCs w:val="24"/>
        </w:rPr>
        <w:t>I; Yogyakarta: Graha Guru, 2011.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lastRenderedPageBreak/>
        <w:t xml:space="preserve">Kementerian Agama RI,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al-Qur’an dan terjemahnya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Kementerian Agama RI: Dirjen Bimas Islam Diretort Urusan Agama Isl</w:t>
      </w:r>
      <w:r>
        <w:rPr>
          <w:rFonts w:asciiTheme="majorBidi" w:hAnsiTheme="majorBidi" w:cstheme="majorBidi"/>
          <w:sz w:val="24"/>
          <w:szCs w:val="24"/>
        </w:rPr>
        <w:t>am dan Pembinaan Syari’ah, 2012.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Kusnandar,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Guru Profesional Implementasi Kurikulum Satuan Pendidikan (KTSP) dan Sekses Dalam Sertifikasi Guru,</w:t>
      </w:r>
      <w:r w:rsidRPr="00D34D04">
        <w:rPr>
          <w:rFonts w:asciiTheme="majorBidi" w:hAnsiTheme="majorBidi" w:cstheme="majorBidi"/>
          <w:sz w:val="24"/>
          <w:szCs w:val="24"/>
        </w:rPr>
        <w:t xml:space="preserve"> Ed. I</w:t>
      </w:r>
      <w:r>
        <w:rPr>
          <w:rFonts w:asciiTheme="majorBidi" w:hAnsiTheme="majorBidi" w:cstheme="majorBidi"/>
          <w:sz w:val="24"/>
          <w:szCs w:val="24"/>
        </w:rPr>
        <w:t>, Jakarta: Rajawali Press, 2009.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Longman, </w:t>
      </w:r>
      <w:r w:rsidRPr="0040491A">
        <w:rPr>
          <w:rFonts w:asciiTheme="majorBidi" w:hAnsiTheme="majorBidi" w:cstheme="majorBidi"/>
          <w:i/>
          <w:iCs/>
          <w:sz w:val="24"/>
          <w:szCs w:val="24"/>
        </w:rPr>
        <w:t>Dictionary of Contemporary English,</w:t>
      </w:r>
      <w:r>
        <w:rPr>
          <w:rFonts w:asciiTheme="majorBidi" w:hAnsiTheme="majorBidi" w:cstheme="majorBidi"/>
          <w:sz w:val="24"/>
          <w:szCs w:val="24"/>
        </w:rPr>
        <w:t xml:space="preserve"> Ed. VIII; St Ives: Clays Ltd, 1998.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Maharani, </w:t>
      </w:r>
      <w:r w:rsidRPr="00D34D04">
        <w:rPr>
          <w:rFonts w:asciiTheme="majorBidi" w:hAnsiTheme="majorBidi" w:cstheme="majorBidi"/>
          <w:sz w:val="24"/>
          <w:szCs w:val="24"/>
        </w:rPr>
        <w:t xml:space="preserve">Ayusita,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Buku Pintar PLPG : Pendidikan dan Latihan Profesi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Cet. I; Yoyakarta: Araksa, 2011.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Majid, </w:t>
      </w:r>
      <w:r w:rsidRPr="00D34D04">
        <w:rPr>
          <w:rFonts w:asciiTheme="majorBidi" w:hAnsiTheme="majorBidi" w:cstheme="majorBidi"/>
          <w:sz w:val="24"/>
          <w:szCs w:val="24"/>
        </w:rPr>
        <w:t xml:space="preserve">Abdul,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Perencanaan Pembelajaran: Mengembangkan Standar Kompetensi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VII; B</w:t>
      </w:r>
      <w:r>
        <w:rPr>
          <w:rFonts w:asciiTheme="majorBidi" w:hAnsiTheme="majorBidi" w:cstheme="majorBidi"/>
          <w:sz w:val="24"/>
          <w:szCs w:val="24"/>
        </w:rPr>
        <w:t>andung: Remaja Rosdakarya, 2011.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Pr="00D34D04" w:rsidRDefault="00B94601" w:rsidP="00B94601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Mappanganro,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Kepemilikan Kompetensi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Makassar: Alauddin Press, 2010.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Moleong, </w:t>
      </w:r>
      <w:r w:rsidRPr="00D34D04">
        <w:rPr>
          <w:rFonts w:asciiTheme="majorBidi" w:hAnsiTheme="majorBidi" w:cstheme="majorBidi"/>
          <w:sz w:val="24"/>
          <w:szCs w:val="24"/>
        </w:rPr>
        <w:t xml:space="preserve">Lexi J.,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 xml:space="preserve">Cet. I; </w:t>
      </w:r>
      <w:r>
        <w:rPr>
          <w:rFonts w:asciiTheme="majorBidi" w:hAnsiTheme="majorBidi" w:cstheme="majorBidi"/>
          <w:sz w:val="24"/>
          <w:szCs w:val="24"/>
        </w:rPr>
        <w:t>Bandung: Remaja Rosdakarya 2008.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Muhajir, </w:t>
      </w:r>
      <w:r w:rsidRPr="00D34D04">
        <w:rPr>
          <w:rFonts w:asciiTheme="majorBidi" w:hAnsiTheme="majorBidi" w:cstheme="majorBidi"/>
          <w:sz w:val="24"/>
          <w:szCs w:val="24"/>
        </w:rPr>
        <w:t xml:space="preserve">Noeng,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Cet. I; Yogyakarta: tp., 2000.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Nata, M. Abudin, </w:t>
      </w:r>
      <w:r w:rsidRPr="00E17A22">
        <w:rPr>
          <w:rFonts w:asciiTheme="majorBidi" w:hAnsiTheme="majorBidi" w:cstheme="majorBidi"/>
          <w:i/>
          <w:iCs/>
          <w:sz w:val="24"/>
          <w:szCs w:val="24"/>
        </w:rPr>
        <w:t>Metodologi Studi Ialam,</w:t>
      </w:r>
      <w:r>
        <w:rPr>
          <w:rFonts w:asciiTheme="majorBidi" w:hAnsiTheme="majorBidi" w:cstheme="majorBidi"/>
          <w:sz w:val="24"/>
          <w:szCs w:val="24"/>
        </w:rPr>
        <w:t xml:space="preserve"> Ed. II, Jakarta: PT. Rajagrafindo Persada, 2007.</w:t>
      </w: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Nurhayati, Dimas, </w:t>
      </w:r>
      <w:r w:rsidRPr="00144FCA">
        <w:rPr>
          <w:rFonts w:asciiTheme="majorBidi" w:hAnsiTheme="majorBidi" w:cstheme="majorBidi"/>
          <w:i/>
          <w:iCs/>
          <w:sz w:val="24"/>
          <w:szCs w:val="24"/>
        </w:rPr>
        <w:t>Dinamika Pendidikan Agama Islam di Indonesia Pasca Kemerkaan</w:t>
      </w:r>
      <w:r>
        <w:rPr>
          <w:rFonts w:asciiTheme="majorBidi" w:hAnsiTheme="majorBidi" w:cstheme="majorBidi"/>
          <w:sz w:val="24"/>
          <w:szCs w:val="24"/>
        </w:rPr>
        <w:t>, Cet. I; Jakarta: PT. Grafindo Persada, 2009.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Republik Indonesia,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Peraturan Pemerintah Nomor 74 Tahun 2008 tentang Guru, htt://sertifikasi guru.</w:t>
      </w:r>
      <w:r w:rsidRPr="00D34D04">
        <w:rPr>
          <w:rFonts w:asciiTheme="majorBidi" w:hAnsiTheme="majorBidi" w:cstheme="majorBidi"/>
          <w:sz w:val="24"/>
          <w:szCs w:val="24"/>
        </w:rPr>
        <w:t xml:space="preserve"> Unm. Ac.id/dokumen/PP 74 Tahun 2008 tentang Guru pdf, h. 6 (5 Desember 2011). Selanjut</w:t>
      </w:r>
      <w:r>
        <w:rPr>
          <w:rFonts w:asciiTheme="majorBidi" w:hAnsiTheme="majorBidi" w:cstheme="majorBidi"/>
          <w:sz w:val="24"/>
          <w:szCs w:val="24"/>
        </w:rPr>
        <w:t>nya penulisan peraturan pemerint</w:t>
      </w:r>
      <w:r w:rsidRPr="00D34D04">
        <w:rPr>
          <w:rFonts w:asciiTheme="majorBidi" w:hAnsiTheme="majorBidi" w:cstheme="majorBidi"/>
          <w:sz w:val="24"/>
          <w:szCs w:val="24"/>
        </w:rPr>
        <w:t>ah ini adalah PPG.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Republik Indonesia,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Undang-Undang Omor 14 Tahun 2005 tentang Guru dan Dosen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Bandung: Citra Umbara, 2006.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Ridwan,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Belajar Mudah Penelitian untuk Guru, Karyawan, dan Peneliti Muda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Bandung: Al-Fabeta, 2005.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Rivai, </w:t>
      </w:r>
      <w:r w:rsidRPr="00D34D04">
        <w:rPr>
          <w:rFonts w:asciiTheme="majorBidi" w:hAnsiTheme="majorBidi" w:cstheme="majorBidi"/>
          <w:sz w:val="24"/>
          <w:szCs w:val="24"/>
        </w:rPr>
        <w:t xml:space="preserve">Vithzal dan Sylviana Murni,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Edication Managemen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II; Jakar</w:t>
      </w:r>
      <w:r>
        <w:rPr>
          <w:rFonts w:asciiTheme="majorBidi" w:hAnsiTheme="majorBidi" w:cstheme="majorBidi"/>
          <w:sz w:val="24"/>
          <w:szCs w:val="24"/>
        </w:rPr>
        <w:t>ta: Raja Grafindo Persada, 2009.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Roestiyah N.K.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Masalah-Masalah Ilmu Keguruan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</w:t>
      </w:r>
      <w:r>
        <w:rPr>
          <w:rFonts w:asciiTheme="majorBidi" w:hAnsiTheme="majorBidi" w:cstheme="majorBidi"/>
          <w:sz w:val="24"/>
          <w:szCs w:val="24"/>
        </w:rPr>
        <w:t xml:space="preserve"> III; Jakarta Bina Aksara, 1989.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S. Nasution,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Metode Natularistik Kuantitatif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Bandung: Tarsinto, 1996.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Sabri, </w:t>
      </w:r>
      <w:r w:rsidRPr="00D34D04">
        <w:rPr>
          <w:rFonts w:asciiTheme="majorBidi" w:hAnsiTheme="majorBidi" w:cstheme="majorBidi"/>
          <w:sz w:val="24"/>
          <w:szCs w:val="24"/>
        </w:rPr>
        <w:t xml:space="preserve">Ahmad,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Strategi Belajar Mengajar Micro Teaching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</w:t>
      </w:r>
      <w:r>
        <w:rPr>
          <w:rFonts w:asciiTheme="majorBidi" w:hAnsiTheme="majorBidi" w:cstheme="majorBidi"/>
          <w:sz w:val="24"/>
          <w:szCs w:val="24"/>
        </w:rPr>
        <w:t>I; Ciputat: Ciputat Press, 2007.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Sadulloh, </w:t>
      </w:r>
      <w:r w:rsidRPr="00D34D04">
        <w:rPr>
          <w:rFonts w:asciiTheme="majorBidi" w:hAnsiTheme="majorBidi" w:cstheme="majorBidi"/>
          <w:sz w:val="24"/>
          <w:szCs w:val="24"/>
        </w:rPr>
        <w:t xml:space="preserve">Uyoh,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Peda Gogik Ilmu Mendidik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Cet. I; Bandung: Alfabeta, 2010.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Sagala, </w:t>
      </w:r>
      <w:r w:rsidRPr="00D34D04">
        <w:rPr>
          <w:rFonts w:asciiTheme="majorBidi" w:hAnsiTheme="majorBidi" w:cstheme="majorBidi"/>
          <w:sz w:val="24"/>
          <w:szCs w:val="24"/>
        </w:rPr>
        <w:t xml:space="preserve">Syaiful,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Kemampuan Profesional Guru dan Tenaga Kependidikan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II; Bandung: Alfabeta, 20</w:t>
      </w:r>
      <w:r>
        <w:rPr>
          <w:rFonts w:asciiTheme="majorBidi" w:hAnsiTheme="majorBidi" w:cstheme="majorBidi"/>
          <w:sz w:val="24"/>
          <w:szCs w:val="24"/>
        </w:rPr>
        <w:t>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Konsep dan Makna Pembelajaran Untuk Membantu Memecahkan Problematika Belajar dan Mengajar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et. VI; Bandung: Alfabeta, 2008.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Salam, </w:t>
      </w:r>
      <w:r w:rsidRPr="00D34D04">
        <w:rPr>
          <w:rFonts w:asciiTheme="majorBidi" w:hAnsiTheme="majorBidi" w:cstheme="majorBidi"/>
          <w:sz w:val="24"/>
          <w:szCs w:val="24"/>
        </w:rPr>
        <w:t xml:space="preserve">Burhanuddin,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Pengantar Pedagogik Dasar-Dasar Ilmu Mendidik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 xml:space="preserve">Cet. I; </w:t>
      </w:r>
      <w:r>
        <w:rPr>
          <w:rFonts w:asciiTheme="majorBidi" w:hAnsiTheme="majorBidi" w:cstheme="majorBidi"/>
          <w:sz w:val="24"/>
          <w:szCs w:val="24"/>
        </w:rPr>
        <w:t>Jakarta: PT. Rineka Cipta, 1997.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Saudagar, </w:t>
      </w:r>
      <w:r w:rsidRPr="00D34D04">
        <w:rPr>
          <w:rFonts w:asciiTheme="majorBidi" w:hAnsiTheme="majorBidi" w:cstheme="majorBidi"/>
          <w:sz w:val="24"/>
          <w:szCs w:val="24"/>
        </w:rPr>
        <w:t xml:space="preserve">Pacruddin dan Ali Idrus,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Pengembangan Profesionalitas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I; Jak</w:t>
      </w:r>
      <w:r>
        <w:rPr>
          <w:rFonts w:asciiTheme="majorBidi" w:hAnsiTheme="majorBidi" w:cstheme="majorBidi"/>
          <w:sz w:val="24"/>
          <w:szCs w:val="24"/>
        </w:rPr>
        <w:t>arta: Gaung Persada Press, 2009.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Slameto,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</w:t>
      </w:r>
      <w:r>
        <w:rPr>
          <w:rFonts w:asciiTheme="majorBidi" w:hAnsiTheme="majorBidi" w:cstheme="majorBidi"/>
          <w:sz w:val="24"/>
          <w:szCs w:val="24"/>
        </w:rPr>
        <w:t>V; Jakarta : Rineka Cipta, 2003.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Subagyo, </w:t>
      </w:r>
      <w:r w:rsidRPr="00D34D04">
        <w:rPr>
          <w:rFonts w:asciiTheme="majorBidi" w:hAnsiTheme="majorBidi" w:cstheme="majorBidi"/>
          <w:sz w:val="24"/>
          <w:szCs w:val="24"/>
        </w:rPr>
        <w:t xml:space="preserve">Joko,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Metode Penelitian dalam teori dan Praktek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91F03">
        <w:rPr>
          <w:rFonts w:asciiTheme="majorBidi" w:hAnsiTheme="majorBidi" w:cstheme="majorBidi"/>
          <w:sz w:val="24"/>
          <w:szCs w:val="24"/>
        </w:rPr>
        <w:t>J</w:t>
      </w:r>
      <w:r w:rsidRPr="00D34D04">
        <w:rPr>
          <w:rFonts w:asciiTheme="majorBidi" w:hAnsiTheme="majorBidi" w:cstheme="majorBidi"/>
          <w:sz w:val="24"/>
          <w:szCs w:val="24"/>
        </w:rPr>
        <w:t>aka</w:t>
      </w:r>
      <w:r>
        <w:rPr>
          <w:rFonts w:asciiTheme="majorBidi" w:hAnsiTheme="majorBidi" w:cstheme="majorBidi"/>
          <w:sz w:val="24"/>
          <w:szCs w:val="24"/>
        </w:rPr>
        <w:t>rta: Rineka Cipta, 1991.</w:t>
      </w:r>
    </w:p>
    <w:p w:rsidR="00B94601" w:rsidRPr="00D34D04" w:rsidRDefault="00B94601" w:rsidP="00B94601">
      <w:pPr>
        <w:pStyle w:val="FootnoteText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Sugiono,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Metodologi Penelitan Kualitatif, Kuantitatif dan R&amp;D,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</w:t>
      </w:r>
      <w:r>
        <w:rPr>
          <w:rFonts w:asciiTheme="majorBidi" w:hAnsiTheme="majorBidi" w:cstheme="majorBidi"/>
          <w:sz w:val="24"/>
          <w:szCs w:val="24"/>
        </w:rPr>
        <w:t>. VIII; Bandung: Alfabeta, 2006.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Metode Penelitian Pendidikan Pendekatan Kuantitatif, Kualitatif, dan R &amp; D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XII; Bandung: Alfabeta</w:t>
      </w:r>
      <w:r>
        <w:rPr>
          <w:rFonts w:asciiTheme="majorBidi" w:hAnsiTheme="majorBidi" w:cstheme="majorBidi"/>
          <w:sz w:val="24"/>
          <w:szCs w:val="24"/>
        </w:rPr>
        <w:t>, 2011.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Sujana, </w:t>
      </w:r>
      <w:r w:rsidRPr="00D34D04">
        <w:rPr>
          <w:rFonts w:asciiTheme="majorBidi" w:hAnsiTheme="majorBidi" w:cstheme="majorBidi"/>
          <w:sz w:val="24"/>
          <w:szCs w:val="24"/>
        </w:rPr>
        <w:t xml:space="preserve">Nana,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Dasar-Dasar Proses Belajar Mengajar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V; Band</w:t>
      </w:r>
      <w:r>
        <w:rPr>
          <w:rFonts w:asciiTheme="majorBidi" w:hAnsiTheme="majorBidi" w:cstheme="majorBidi"/>
          <w:sz w:val="24"/>
          <w:szCs w:val="24"/>
        </w:rPr>
        <w:t>ung: Sinar Baru Algesindo, 2005.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Sujarno,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Metodologi Penelitian Sosial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I; Bandar</w:t>
      </w:r>
      <w:r>
        <w:rPr>
          <w:rFonts w:asciiTheme="majorBidi" w:hAnsiTheme="majorBidi" w:cstheme="majorBidi"/>
          <w:sz w:val="24"/>
          <w:szCs w:val="24"/>
        </w:rPr>
        <w:t xml:space="preserve"> Lampung: CV. Mandar Maju, 2001.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Surya, </w:t>
      </w:r>
      <w:r w:rsidRPr="00D34D04">
        <w:rPr>
          <w:rFonts w:asciiTheme="majorBidi" w:hAnsiTheme="majorBidi" w:cstheme="majorBidi"/>
          <w:sz w:val="24"/>
          <w:szCs w:val="24"/>
        </w:rPr>
        <w:t xml:space="preserve">Muhammad,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Percikan Perjuangan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I; Semarang: Aneka</w:t>
      </w:r>
      <w:r>
        <w:rPr>
          <w:rFonts w:asciiTheme="majorBidi" w:hAnsiTheme="majorBidi" w:cstheme="majorBidi"/>
          <w:sz w:val="24"/>
          <w:szCs w:val="24"/>
        </w:rPr>
        <w:t xml:space="preserve"> Ilmu, 2003.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34D04">
        <w:rPr>
          <w:rFonts w:asciiTheme="majorBidi" w:hAnsiTheme="majorBidi" w:cstheme="majorBidi"/>
          <w:sz w:val="24"/>
          <w:szCs w:val="24"/>
        </w:rPr>
        <w:t xml:space="preserve">Tohirin,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Psikologi Pembelajaran Pendidikan Agama Islam Berbasis Integrasi dan Kompetensi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III; Jakar</w:t>
      </w:r>
      <w:r>
        <w:rPr>
          <w:rFonts w:asciiTheme="majorBidi" w:hAnsiTheme="majorBidi" w:cstheme="majorBidi"/>
          <w:sz w:val="24"/>
          <w:szCs w:val="24"/>
        </w:rPr>
        <w:t>ta: Raja Grafindo Persada, 2008.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</w:t>
      </w:r>
      <w:r w:rsidRPr="00D34D04">
        <w:rPr>
          <w:rFonts w:asciiTheme="majorBidi" w:hAnsiTheme="majorBidi" w:cstheme="majorBidi"/>
          <w:sz w:val="24"/>
          <w:szCs w:val="24"/>
        </w:rPr>
        <w:t xml:space="preserve">Hamzah B. dan Masri Kudrati Umar,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Mengelola Kecerdasan dalam Pembelajaran Sebuah Konsep Pembelajaran Bebasis Kecerdasan,</w:t>
      </w:r>
      <w:r w:rsidRPr="00D34D04">
        <w:rPr>
          <w:rFonts w:asciiTheme="majorBidi" w:hAnsiTheme="majorBidi" w:cstheme="majorBidi"/>
          <w:sz w:val="24"/>
          <w:szCs w:val="24"/>
        </w:rPr>
        <w:t xml:space="preserve"> Ed. I</w:t>
      </w:r>
      <w:r>
        <w:rPr>
          <w:rFonts w:asciiTheme="majorBidi" w:hAnsiTheme="majorBidi" w:cstheme="majorBidi"/>
          <w:sz w:val="24"/>
          <w:szCs w:val="24"/>
        </w:rPr>
        <w:t xml:space="preserve">,  </w:t>
      </w:r>
      <w:r w:rsidRPr="00D34D04">
        <w:rPr>
          <w:rFonts w:asciiTheme="majorBidi" w:hAnsiTheme="majorBidi" w:cstheme="majorBidi"/>
          <w:sz w:val="24"/>
          <w:szCs w:val="24"/>
        </w:rPr>
        <w:t>Cet.</w:t>
      </w:r>
      <w:r>
        <w:rPr>
          <w:rFonts w:asciiTheme="majorBidi" w:hAnsiTheme="majorBidi" w:cstheme="majorBidi"/>
          <w:sz w:val="24"/>
          <w:szCs w:val="24"/>
        </w:rPr>
        <w:t xml:space="preserve"> II; Jakarta: Bumi Aksara, 2010.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</w:t>
      </w:r>
      <w:r w:rsidRPr="00D34D04">
        <w:rPr>
          <w:rFonts w:asciiTheme="majorBidi" w:hAnsiTheme="majorBidi" w:cstheme="majorBidi"/>
          <w:sz w:val="24"/>
          <w:szCs w:val="24"/>
        </w:rPr>
        <w:t xml:space="preserve">Moh. Uzer,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XII; Bandu</w:t>
      </w:r>
      <w:r>
        <w:rPr>
          <w:rFonts w:asciiTheme="majorBidi" w:hAnsiTheme="majorBidi" w:cstheme="majorBidi"/>
          <w:sz w:val="24"/>
          <w:szCs w:val="24"/>
        </w:rPr>
        <w:t>ng: PT. Remaja Rosdakarya, 2001.</w:t>
      </w: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94601" w:rsidRPr="00D34D04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</w:t>
      </w:r>
      <w:r w:rsidRPr="00D34D04">
        <w:rPr>
          <w:rFonts w:asciiTheme="majorBidi" w:hAnsiTheme="majorBidi" w:cstheme="majorBidi"/>
          <w:sz w:val="24"/>
          <w:szCs w:val="24"/>
        </w:rPr>
        <w:t xml:space="preserve">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XII; B</w:t>
      </w:r>
      <w:r>
        <w:rPr>
          <w:rFonts w:asciiTheme="majorBidi" w:hAnsiTheme="majorBidi" w:cstheme="majorBidi"/>
          <w:sz w:val="24"/>
          <w:szCs w:val="24"/>
        </w:rPr>
        <w:t>andung: Remaja Rosdakarya, 2001.</w:t>
      </w:r>
    </w:p>
    <w:p w:rsidR="00B94601" w:rsidRPr="005C153E" w:rsidRDefault="00B94601" w:rsidP="00B9460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Yamin, </w:t>
      </w:r>
      <w:r w:rsidRPr="00D34D04">
        <w:rPr>
          <w:rFonts w:asciiTheme="majorBidi" w:hAnsiTheme="majorBidi" w:cstheme="majorBidi"/>
          <w:sz w:val="24"/>
          <w:szCs w:val="24"/>
        </w:rPr>
        <w:t xml:space="preserve">Martini dan Maisah, </w:t>
      </w:r>
      <w:r w:rsidRPr="00D34D04">
        <w:rPr>
          <w:rFonts w:asciiTheme="majorBidi" w:hAnsiTheme="majorBidi" w:cstheme="majorBidi"/>
          <w:i/>
          <w:iCs/>
          <w:sz w:val="24"/>
          <w:szCs w:val="24"/>
        </w:rPr>
        <w:t>Standarisasi Kinerja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D04">
        <w:rPr>
          <w:rFonts w:asciiTheme="majorBidi" w:hAnsiTheme="majorBidi" w:cstheme="majorBidi"/>
          <w:sz w:val="24"/>
          <w:szCs w:val="24"/>
        </w:rPr>
        <w:t>Cet. I; Jak</w:t>
      </w:r>
      <w:r>
        <w:rPr>
          <w:rFonts w:asciiTheme="majorBidi" w:hAnsiTheme="majorBidi" w:cstheme="majorBidi"/>
          <w:sz w:val="24"/>
          <w:szCs w:val="24"/>
        </w:rPr>
        <w:t>arta: Gaung Persada Press, 2010.</w:t>
      </w:r>
    </w:p>
    <w:p w:rsidR="00B94601" w:rsidRDefault="00B94601" w:rsidP="00B946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94601" w:rsidRDefault="00B94601" w:rsidP="00B946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918F3" w:rsidRDefault="00B94601">
      <w:bookmarkStart w:id="0" w:name="_GoBack"/>
      <w:bookmarkEnd w:id="0"/>
    </w:p>
    <w:sectPr w:rsidR="0079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2BB2"/>
    <w:multiLevelType w:val="hybridMultilevel"/>
    <w:tmpl w:val="6BC832D4"/>
    <w:lvl w:ilvl="0" w:tplc="13A04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1"/>
    <w:rsid w:val="00241F7A"/>
    <w:rsid w:val="006D2364"/>
    <w:rsid w:val="00B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01"/>
    <w:pPr>
      <w:spacing w:after="3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460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6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01"/>
    <w:pPr>
      <w:spacing w:after="3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460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Company>HP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2018-09-07T07:08:00Z</dcterms:created>
  <dcterms:modified xsi:type="dcterms:W3CDTF">2018-09-07T07:08:00Z</dcterms:modified>
</cp:coreProperties>
</file>