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3" w:rsidRDefault="00A81BE8" w:rsidP="00554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65pt;margin-top:-94.6pt;width:85.2pt;height:57.7pt;z-index:251658240" stroked="f">
            <v:textbox style="mso-next-textbox:#_x0000_s1026">
              <w:txbxContent>
                <w:p w:rsidR="00434552" w:rsidRDefault="00434552" w:rsidP="00BF1209"/>
              </w:txbxContent>
            </v:textbox>
          </v:shape>
        </w:pict>
      </w:r>
      <w:r w:rsidR="00554EB3" w:rsidRPr="00554EB3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:rsidR="00554EB3" w:rsidRDefault="00773F88" w:rsidP="00773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:rsidR="00773F88" w:rsidRDefault="00773F88" w:rsidP="000542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DD5" w:rsidRDefault="000542F4" w:rsidP="008A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yang Relevan</w:t>
      </w:r>
    </w:p>
    <w:p w:rsidR="008A0DD5" w:rsidRPr="008A0DD5" w:rsidRDefault="008A0DD5" w:rsidP="006954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19D" w:rsidRDefault="00193FA7" w:rsidP="008A0DD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 yang relevan yang telah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antara lain: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0E519D" w:rsidRPr="000542F4">
        <w:rPr>
          <w:rFonts w:ascii="Times New Roman" w:hAnsi="Times New Roman" w:cs="Times New Roman"/>
          <w:sz w:val="24"/>
          <w:szCs w:val="24"/>
        </w:rPr>
        <w:t>Nur Wahidin, 2004</w:t>
      </w:r>
      <w:r w:rsidR="000E519D">
        <w:rPr>
          <w:rFonts w:ascii="Times New Roman" w:hAnsi="Times New Roman" w:cs="Times New Roman"/>
          <w:sz w:val="24"/>
          <w:szCs w:val="24"/>
        </w:rPr>
        <w:t xml:space="preserve"> dengan judul penelitian</w:t>
      </w:r>
      <w:r w:rsidR="008726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42F4" w:rsidRPr="000542F4">
        <w:rPr>
          <w:rFonts w:ascii="Times New Roman" w:hAnsi="Times New Roman" w:cs="Times New Roman"/>
          <w:i/>
          <w:iCs/>
          <w:sz w:val="24"/>
          <w:szCs w:val="24"/>
        </w:rPr>
        <w:t>Analisis terhadap faktor penghambat tugas Jurusita/Jurusita</w:t>
      </w:r>
      <w:r w:rsidR="003E1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42F4" w:rsidRPr="000542F4">
        <w:rPr>
          <w:rFonts w:ascii="Times New Roman" w:hAnsi="Times New Roman" w:cs="Times New Roman"/>
          <w:i/>
          <w:iCs/>
          <w:sz w:val="24"/>
          <w:szCs w:val="24"/>
        </w:rPr>
        <w:t>Pengganti dalam pemanggilan pihak yang berperkara di Pengadilan</w:t>
      </w:r>
      <w:r w:rsidR="003E1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19D">
        <w:rPr>
          <w:rFonts w:ascii="Times New Roman" w:hAnsi="Times New Roman" w:cs="Times New Roman"/>
          <w:i/>
          <w:iCs/>
          <w:sz w:val="24"/>
          <w:szCs w:val="24"/>
        </w:rPr>
        <w:t>Agama Semarang</w:t>
      </w:r>
      <w:r w:rsidR="000542F4" w:rsidRPr="000542F4">
        <w:rPr>
          <w:rFonts w:ascii="Times New Roman" w:hAnsi="Times New Roman" w:cs="Times New Roman"/>
          <w:sz w:val="24"/>
          <w:szCs w:val="24"/>
        </w:rPr>
        <w:t>. Dalam skripsi ini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0542F4" w:rsidRPr="000542F4">
        <w:rPr>
          <w:rFonts w:ascii="Times New Roman" w:hAnsi="Times New Roman" w:cs="Times New Roman"/>
          <w:sz w:val="24"/>
          <w:szCs w:val="24"/>
        </w:rPr>
        <w:t>membahas mengenai faktor penghambat jurusita/jurusita pengganti dalam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0542F4" w:rsidRPr="000542F4">
        <w:rPr>
          <w:rFonts w:ascii="Times New Roman" w:hAnsi="Times New Roman" w:cs="Times New Roman"/>
          <w:sz w:val="24"/>
          <w:szCs w:val="24"/>
        </w:rPr>
        <w:t>melaksanakan tugasnya (berdasarkan Undang-undang No 7 tahun 1989) di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0542F4" w:rsidRPr="000542F4">
        <w:rPr>
          <w:rFonts w:ascii="Times New Roman" w:hAnsi="Times New Roman" w:cs="Times New Roman"/>
          <w:sz w:val="24"/>
          <w:szCs w:val="24"/>
        </w:rPr>
        <w:t xml:space="preserve">Pengadilan </w:t>
      </w:r>
      <w:r w:rsidR="007446BC" w:rsidRPr="000542F4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>Semarang</w:t>
      </w:r>
      <w:r w:rsidR="00331E9F">
        <w:rPr>
          <w:rFonts w:ascii="Times New Roman" w:hAnsi="Times New Roman" w:cs="Times New Roman"/>
          <w:sz w:val="24"/>
          <w:szCs w:val="24"/>
        </w:rPr>
        <w:t xml:space="preserve"> sedangkan peneliti membahas keseluruhan mengenai hambatan-hambatan di Pengadilan Agama Kendari dalam penerapan asas sederhana, cepat dan biaya ringan tidak hanya dari pihak jurusita saja.</w:t>
      </w:r>
    </w:p>
    <w:p w:rsidR="000E519D" w:rsidRPr="00193FA7" w:rsidRDefault="00107F1F" w:rsidP="0028118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202" style="position:absolute;left:0;text-align:left;margin-left:161.75pt;margin-top:251.6pt;width:85.2pt;height:57.7pt;z-index:251661312" stroked="f">
            <v:textbox style="mso-next-textbox:#_x0000_s1031">
              <w:txbxContent>
                <w:p w:rsidR="00107F1F" w:rsidRPr="00107F1F" w:rsidRDefault="00107F1F" w:rsidP="00107F1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06143F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xbxContent>
            </v:textbox>
          </v:shape>
        </w:pict>
      </w:r>
      <w:r w:rsidR="00A81BE8" w:rsidRPr="00A81BE8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29" type="#_x0000_t202" style="position:absolute;left:0;text-align:left;margin-left:150.9pt;margin-top:316.4pt;width:85.2pt;height:57.7pt;z-index:251660288" stroked="f">
            <v:textbox style="mso-next-textbox:#_x0000_s1029">
              <w:txbxContent>
                <w:p w:rsidR="005C4500" w:rsidRDefault="005C4500" w:rsidP="005C4500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="000E519D">
        <w:rPr>
          <w:rFonts w:ascii="Times New Roman" w:hAnsi="Times New Roman" w:cs="Times New Roman"/>
          <w:sz w:val="24"/>
          <w:szCs w:val="24"/>
        </w:rPr>
        <w:t>Hasil penelitian selanjutnya dilakukan</w:t>
      </w:r>
      <w:r w:rsidR="00DB1E75">
        <w:rPr>
          <w:rFonts w:ascii="Times New Roman" w:hAnsi="Times New Roman" w:cs="Times New Roman"/>
          <w:sz w:val="24"/>
          <w:szCs w:val="24"/>
        </w:rPr>
        <w:t xml:space="preserve"> oleh Zulfikar Nur Barlian, 2001</w:t>
      </w:r>
      <w:r w:rsidR="000E519D">
        <w:rPr>
          <w:rFonts w:ascii="Times New Roman" w:hAnsi="Times New Roman" w:cs="Times New Roman"/>
          <w:sz w:val="24"/>
          <w:szCs w:val="24"/>
        </w:rPr>
        <w:t xml:space="preserve"> dengan judul penelitian </w:t>
      </w:r>
      <w:r w:rsidR="000E519D">
        <w:rPr>
          <w:rFonts w:ascii="Times New Roman" w:hAnsi="Times New Roman" w:cs="Times New Roman"/>
          <w:i/>
          <w:sz w:val="24"/>
          <w:szCs w:val="24"/>
        </w:rPr>
        <w:t xml:space="preserve">Penerapan asas sederhana, cepat, dan biaya ringan dalam </w:t>
      </w:r>
      <w:r w:rsidR="00DB1E75">
        <w:rPr>
          <w:rFonts w:ascii="Times New Roman" w:hAnsi="Times New Roman" w:cs="Times New Roman"/>
          <w:i/>
          <w:sz w:val="24"/>
          <w:szCs w:val="24"/>
        </w:rPr>
        <w:t xml:space="preserve">prosedur acara dan proses perkara cerai gugat di Pengadilan Agama Bantul tahun 2000. </w:t>
      </w:r>
      <w:r w:rsidR="000E519D">
        <w:rPr>
          <w:rFonts w:ascii="Times New Roman" w:hAnsi="Times New Roman" w:cs="Times New Roman"/>
          <w:sz w:val="24"/>
          <w:szCs w:val="24"/>
        </w:rPr>
        <w:t xml:space="preserve">Dalam skripsi ini </w:t>
      </w:r>
      <w:r w:rsidR="00A02615">
        <w:rPr>
          <w:rFonts w:ascii="Times New Roman" w:hAnsi="Times New Roman" w:cs="Times New Roman"/>
          <w:sz w:val="24"/>
          <w:szCs w:val="24"/>
        </w:rPr>
        <w:t xml:space="preserve">hanya </w:t>
      </w:r>
      <w:r w:rsidR="000E519D">
        <w:rPr>
          <w:rFonts w:ascii="Times New Roman" w:hAnsi="Times New Roman" w:cs="Times New Roman"/>
          <w:sz w:val="24"/>
          <w:szCs w:val="24"/>
        </w:rPr>
        <w:t>membahas tentang bagaimana penerapan asas sederha</w:t>
      </w:r>
      <w:r w:rsidR="00704278">
        <w:rPr>
          <w:rFonts w:ascii="Times New Roman" w:hAnsi="Times New Roman" w:cs="Times New Roman"/>
          <w:sz w:val="24"/>
          <w:szCs w:val="24"/>
        </w:rPr>
        <w:t>na, cepat dan biaya ringan</w:t>
      </w:r>
      <w:r w:rsidR="00DB1E75">
        <w:rPr>
          <w:rFonts w:ascii="Times New Roman" w:hAnsi="Times New Roman" w:cs="Times New Roman"/>
          <w:sz w:val="24"/>
          <w:szCs w:val="24"/>
        </w:rPr>
        <w:t xml:space="preserve"> dalam perkara cerai gugat</w:t>
      </w:r>
      <w:r w:rsidR="000E519D">
        <w:rPr>
          <w:rFonts w:ascii="Times New Roman" w:hAnsi="Times New Roman" w:cs="Times New Roman"/>
          <w:sz w:val="24"/>
          <w:szCs w:val="24"/>
        </w:rPr>
        <w:t xml:space="preserve"> saja</w:t>
      </w:r>
      <w:r w:rsidR="00EF5B10">
        <w:rPr>
          <w:rFonts w:ascii="Times New Roman" w:hAnsi="Times New Roman" w:cs="Times New Roman"/>
          <w:sz w:val="24"/>
          <w:szCs w:val="24"/>
        </w:rPr>
        <w:t xml:space="preserve">, sedangkan </w:t>
      </w:r>
      <w:r w:rsidR="00EA3089">
        <w:rPr>
          <w:rFonts w:ascii="Times New Roman" w:hAnsi="Times New Roman" w:cs="Times New Roman"/>
          <w:sz w:val="24"/>
          <w:szCs w:val="24"/>
        </w:rPr>
        <w:t xml:space="preserve">peneliti ingin membahas </w:t>
      </w:r>
      <w:r w:rsidR="00EA3089" w:rsidRPr="000542F4">
        <w:rPr>
          <w:rFonts w:ascii="Times New Roman" w:hAnsi="Times New Roman" w:cs="Times New Roman"/>
          <w:sz w:val="24"/>
          <w:szCs w:val="24"/>
        </w:rPr>
        <w:t xml:space="preserve">tentang </w:t>
      </w:r>
      <w:r w:rsidR="00021092">
        <w:rPr>
          <w:rFonts w:ascii="Times New Roman" w:hAnsi="Times New Roman" w:cs="Times New Roman"/>
          <w:sz w:val="24"/>
          <w:szCs w:val="24"/>
        </w:rPr>
        <w:t xml:space="preserve">bagaimana </w:t>
      </w:r>
      <w:r w:rsidR="00EA3089" w:rsidRPr="000542F4">
        <w:rPr>
          <w:rFonts w:ascii="Times New Roman" w:hAnsi="Times New Roman" w:cs="Times New Roman"/>
          <w:sz w:val="24"/>
          <w:szCs w:val="24"/>
        </w:rPr>
        <w:t>penerapan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D63AE1"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EA3089" w:rsidRPr="000542F4">
        <w:rPr>
          <w:rFonts w:ascii="Times New Roman" w:hAnsi="Times New Roman" w:cs="Times New Roman"/>
          <w:sz w:val="24"/>
          <w:szCs w:val="24"/>
        </w:rPr>
        <w:t xml:space="preserve"> di Pengadilan Agama</w:t>
      </w:r>
      <w:r w:rsidR="00612747">
        <w:rPr>
          <w:rFonts w:ascii="Times New Roman" w:hAnsi="Times New Roman" w:cs="Times New Roman"/>
          <w:sz w:val="24"/>
          <w:szCs w:val="24"/>
        </w:rPr>
        <w:t xml:space="preserve"> Kendari</w:t>
      </w:r>
      <w:r w:rsidR="000E519D">
        <w:rPr>
          <w:rFonts w:ascii="Times New Roman" w:hAnsi="Times New Roman" w:cs="Times New Roman"/>
          <w:sz w:val="24"/>
          <w:szCs w:val="24"/>
        </w:rPr>
        <w:t xml:space="preserve"> </w:t>
      </w:r>
      <w:r w:rsidR="00DB1E75">
        <w:rPr>
          <w:rFonts w:ascii="Times New Roman" w:hAnsi="Times New Roman" w:cs="Times New Roman"/>
          <w:sz w:val="24"/>
          <w:szCs w:val="24"/>
        </w:rPr>
        <w:t>tidak hanya perkara cerai gugat saja namun dalam perkara lain juga</w:t>
      </w:r>
      <w:r w:rsidR="000E519D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0542F4">
        <w:rPr>
          <w:rFonts w:ascii="Times New Roman" w:hAnsi="Times New Roman" w:cs="Times New Roman"/>
          <w:sz w:val="24"/>
          <w:szCs w:val="24"/>
        </w:rPr>
        <w:t>sehingga nantinya akan menghasilkan suatu karya ilmiah yang dapat dijadikan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0542F4">
        <w:rPr>
          <w:rFonts w:ascii="Times New Roman" w:hAnsi="Times New Roman" w:cs="Times New Roman"/>
          <w:sz w:val="24"/>
          <w:szCs w:val="24"/>
        </w:rPr>
        <w:t>acuan s</w:t>
      </w:r>
      <w:r w:rsidR="00372615">
        <w:rPr>
          <w:rFonts w:ascii="Times New Roman" w:hAnsi="Times New Roman" w:cs="Times New Roman"/>
          <w:sz w:val="24"/>
          <w:szCs w:val="24"/>
        </w:rPr>
        <w:t>erta dapat dijadikan pedoman ke</w:t>
      </w:r>
      <w:r w:rsidR="00EA3089" w:rsidRPr="000542F4">
        <w:rPr>
          <w:rFonts w:ascii="Times New Roman" w:hAnsi="Times New Roman" w:cs="Times New Roman"/>
          <w:sz w:val="24"/>
          <w:szCs w:val="24"/>
        </w:rPr>
        <w:t xml:space="preserve">arah peningkatan yang </w:t>
      </w:r>
      <w:r w:rsidR="00EA3089" w:rsidRPr="000542F4">
        <w:rPr>
          <w:rFonts w:ascii="Times New Roman" w:hAnsi="Times New Roman" w:cs="Times New Roman"/>
          <w:sz w:val="24"/>
          <w:szCs w:val="24"/>
        </w:rPr>
        <w:lastRenderedPageBreak/>
        <w:t>lebih baik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0542F4">
        <w:rPr>
          <w:rFonts w:ascii="Times New Roman" w:hAnsi="Times New Roman" w:cs="Times New Roman"/>
          <w:sz w:val="24"/>
          <w:szCs w:val="24"/>
        </w:rPr>
        <w:t xml:space="preserve">mengenai penerapan </w:t>
      </w:r>
      <w:r w:rsidR="00EA3089"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EA3089" w:rsidRPr="000542F4">
        <w:rPr>
          <w:rFonts w:ascii="Times New Roman" w:hAnsi="Times New Roman" w:cs="Times New Roman"/>
          <w:sz w:val="24"/>
          <w:szCs w:val="24"/>
        </w:rPr>
        <w:t xml:space="preserve"> di Pengadilan</w:t>
      </w:r>
      <w:r w:rsidR="003E1B41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0542F4">
        <w:rPr>
          <w:rFonts w:ascii="Times New Roman" w:hAnsi="Times New Roman" w:cs="Times New Roman"/>
          <w:sz w:val="24"/>
          <w:szCs w:val="24"/>
        </w:rPr>
        <w:t>Agama</w:t>
      </w:r>
      <w:r w:rsidR="00EA3089">
        <w:rPr>
          <w:rFonts w:ascii="Times New Roman" w:hAnsi="Times New Roman" w:cs="Times New Roman"/>
          <w:sz w:val="24"/>
          <w:szCs w:val="24"/>
        </w:rPr>
        <w:t xml:space="preserve"> Kendari</w:t>
      </w:r>
      <w:r w:rsidR="0028118C">
        <w:rPr>
          <w:rFonts w:ascii="Times New Roman" w:hAnsi="Times New Roman" w:cs="Times New Roman"/>
          <w:sz w:val="24"/>
          <w:szCs w:val="24"/>
        </w:rPr>
        <w:t>.</w:t>
      </w:r>
    </w:p>
    <w:p w:rsidR="008A0DD5" w:rsidRDefault="00D16CE3" w:rsidP="008A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Asas </w:t>
      </w:r>
      <w:r w:rsidR="00E107D3">
        <w:rPr>
          <w:rFonts w:ascii="Times New Roman" w:hAnsi="Times New Roman" w:cs="Times New Roman"/>
          <w:b/>
          <w:bCs/>
          <w:sz w:val="24"/>
          <w:szCs w:val="24"/>
        </w:rPr>
        <w:t xml:space="preserve">Peradilan </w:t>
      </w:r>
      <w:r w:rsidR="00063DC9">
        <w:rPr>
          <w:rFonts w:ascii="Times New Roman" w:hAnsi="Times New Roman" w:cs="Times New Roman"/>
          <w:b/>
          <w:bCs/>
          <w:sz w:val="24"/>
          <w:szCs w:val="24"/>
        </w:rPr>
        <w:t xml:space="preserve">Sederhana </w:t>
      </w:r>
      <w:r w:rsidR="009E4A2F">
        <w:rPr>
          <w:rFonts w:ascii="Times New Roman" w:hAnsi="Times New Roman" w:cs="Times New Roman"/>
          <w:b/>
          <w:bCs/>
          <w:sz w:val="24"/>
          <w:szCs w:val="24"/>
        </w:rPr>
        <w:t xml:space="preserve">Cepat, dan </w:t>
      </w:r>
      <w:r w:rsidR="00063DC9">
        <w:rPr>
          <w:rFonts w:ascii="Times New Roman" w:hAnsi="Times New Roman" w:cs="Times New Roman"/>
          <w:b/>
          <w:bCs/>
          <w:sz w:val="24"/>
          <w:szCs w:val="24"/>
        </w:rPr>
        <w:t>Biaya Ringan</w:t>
      </w:r>
      <w:r w:rsidR="00EE51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0DD5" w:rsidRPr="008A0DD5" w:rsidRDefault="008A0DD5" w:rsidP="008A0DD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EB3" w:rsidRPr="00695461" w:rsidRDefault="00987B67" w:rsidP="0038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Pengertian </w:t>
      </w:r>
      <w:r w:rsidR="00554EB3" w:rsidRPr="00A97B10">
        <w:rPr>
          <w:rFonts w:ascii="Times New Roman" w:hAnsi="Times New Roman" w:cs="Times New Roman"/>
          <w:b/>
          <w:sz w:val="24"/>
          <w:szCs w:val="24"/>
        </w:rPr>
        <w:t xml:space="preserve">Asas </w:t>
      </w:r>
      <w:r w:rsidR="007F5AD2" w:rsidRPr="00A97B10">
        <w:rPr>
          <w:rFonts w:ascii="Times New Roman" w:hAnsi="Times New Roman" w:cs="Times New Roman"/>
          <w:b/>
          <w:sz w:val="24"/>
          <w:szCs w:val="24"/>
        </w:rPr>
        <w:t>Sederhana</w:t>
      </w:r>
      <w:r w:rsidR="00EE51FA" w:rsidRPr="00A97B10">
        <w:rPr>
          <w:rFonts w:ascii="Times New Roman" w:hAnsi="Times New Roman" w:cs="Times New Roman"/>
          <w:b/>
          <w:sz w:val="24"/>
          <w:szCs w:val="24"/>
        </w:rPr>
        <w:t>.</w:t>
      </w:r>
    </w:p>
    <w:p w:rsidR="00695461" w:rsidRPr="00A97B10" w:rsidRDefault="00695461" w:rsidP="0069546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25" w:rsidRPr="008A0DD5" w:rsidRDefault="00554EB3" w:rsidP="008A0D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 xml:space="preserve">Asas secara bahasa artinya dasar hukum, dasar (sesuatu yang </w:t>
      </w:r>
      <w:r>
        <w:rPr>
          <w:rFonts w:ascii="Times New Roman" w:hAnsi="Times New Roman" w:cs="Times New Roman"/>
          <w:sz w:val="24"/>
          <w:szCs w:val="24"/>
        </w:rPr>
        <w:t xml:space="preserve">menjadi </w:t>
      </w:r>
      <w:r w:rsidRPr="00554EB3">
        <w:rPr>
          <w:rFonts w:ascii="Times New Roman" w:hAnsi="Times New Roman" w:cs="Times New Roman"/>
          <w:sz w:val="24"/>
          <w:szCs w:val="24"/>
        </w:rPr>
        <w:t>tumpuan berfikir atau berpendapat, dasar cita-cita (perkumpulan atau organisasi).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72615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Sedangkan Sederhana secara bahasa artinya sedang (dalam arti pertengahan, tidak tinggi, tidak rendah).</w:t>
      </w:r>
      <w:r w:rsidR="002D7E6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72615">
        <w:rPr>
          <w:rFonts w:ascii="Times New Roman" w:hAnsi="Times New Roman" w:cs="Times New Roman"/>
          <w:sz w:val="24"/>
          <w:szCs w:val="24"/>
        </w:rPr>
        <w:t xml:space="preserve"> </w:t>
      </w:r>
      <w:r w:rsidR="00C32924" w:rsidRPr="00655E59">
        <w:rPr>
          <w:rFonts w:ascii="Times New Roman" w:hAnsi="Times New Roman" w:cs="Times New Roman"/>
          <w:sz w:val="24"/>
          <w:szCs w:val="24"/>
          <w:lang w:val="en-US"/>
        </w:rPr>
        <w:t>Menurut</w:t>
      </w:r>
      <w:r w:rsidR="00372615">
        <w:rPr>
          <w:rFonts w:ascii="Times New Roman" w:hAnsi="Times New Roman" w:cs="Times New Roman"/>
          <w:sz w:val="24"/>
          <w:szCs w:val="24"/>
        </w:rPr>
        <w:t xml:space="preserve"> </w:t>
      </w:r>
      <w:r w:rsidR="00723195">
        <w:rPr>
          <w:rFonts w:ascii="Times New Roman" w:hAnsi="Times New Roman" w:cs="Times New Roman"/>
          <w:sz w:val="24"/>
          <w:szCs w:val="24"/>
        </w:rPr>
        <w:t>A. Mukti Arto</w:t>
      </w:r>
      <w:r w:rsidR="00372615">
        <w:rPr>
          <w:rFonts w:ascii="Times New Roman" w:hAnsi="Times New Roman" w:cs="Times New Roman"/>
          <w:sz w:val="24"/>
          <w:szCs w:val="24"/>
        </w:rPr>
        <w:t xml:space="preserve"> </w:t>
      </w:r>
      <w:r w:rsidR="00723195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723195">
        <w:rPr>
          <w:rFonts w:ascii="Times New Roman" w:hAnsi="Times New Roman" w:cs="Times New Roman"/>
          <w:sz w:val="24"/>
          <w:szCs w:val="24"/>
        </w:rPr>
        <w:t>emukakan</w:t>
      </w:r>
      <w:r w:rsidR="00372615">
        <w:rPr>
          <w:rFonts w:ascii="Times New Roman" w:hAnsi="Times New Roman" w:cs="Times New Roman"/>
          <w:sz w:val="24"/>
          <w:szCs w:val="24"/>
        </w:rPr>
        <w:t xml:space="preserve"> </w:t>
      </w:r>
      <w:r w:rsidR="00C32924" w:rsidRPr="00655E59">
        <w:rPr>
          <w:rFonts w:ascii="Times New Roman" w:hAnsi="Times New Roman" w:cs="Times New Roman"/>
          <w:sz w:val="24"/>
          <w:szCs w:val="24"/>
          <w:lang w:val="en-US"/>
        </w:rPr>
        <w:t>bahwa:</w:t>
      </w:r>
    </w:p>
    <w:p w:rsidR="00CE7F36" w:rsidRDefault="00C32924" w:rsidP="00565E2E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54EB3" w:rsidRPr="005434DD">
        <w:rPr>
          <w:rFonts w:ascii="Times New Roman" w:hAnsi="Times New Roman" w:cs="Times New Roman"/>
          <w:sz w:val="24"/>
          <w:szCs w:val="24"/>
        </w:rPr>
        <w:t>sas sederhana artinya caranya yang jelas, mudah</w:t>
      </w:r>
      <w:r w:rsidR="006564AE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434DD">
        <w:rPr>
          <w:rFonts w:ascii="Times New Roman" w:hAnsi="Times New Roman" w:cs="Times New Roman"/>
          <w:sz w:val="24"/>
          <w:szCs w:val="24"/>
        </w:rPr>
        <w:t>dipahami dan tidak berbelit. Yang penting disini ialah agar para pihak</w:t>
      </w:r>
      <w:r w:rsidR="00565E2E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434DD">
        <w:rPr>
          <w:rFonts w:ascii="Times New Roman" w:hAnsi="Times New Roman" w:cs="Times New Roman"/>
          <w:sz w:val="24"/>
          <w:szCs w:val="24"/>
        </w:rPr>
        <w:t>dapat mengemukakan kehendaknya dengan jelas dan pasti (tidak berubah</w:t>
      </w:r>
      <w:r w:rsidR="00814925">
        <w:rPr>
          <w:rFonts w:ascii="Times New Roman" w:hAnsi="Times New Roman" w:cs="Times New Roman"/>
          <w:sz w:val="24"/>
          <w:szCs w:val="24"/>
        </w:rPr>
        <w:t>-</w:t>
      </w:r>
      <w:r w:rsidR="00554EB3" w:rsidRPr="005434DD">
        <w:rPr>
          <w:rFonts w:ascii="Times New Roman" w:hAnsi="Times New Roman" w:cs="Times New Roman"/>
          <w:sz w:val="24"/>
          <w:szCs w:val="24"/>
        </w:rPr>
        <w:t>ubah)</w:t>
      </w:r>
      <w:r w:rsidR="00255120">
        <w:rPr>
          <w:rFonts w:ascii="Times New Roman" w:hAnsi="Times New Roman" w:cs="Times New Roman"/>
          <w:sz w:val="24"/>
          <w:szCs w:val="24"/>
        </w:rPr>
        <w:t xml:space="preserve"> dan penyelesaiannya </w:t>
      </w:r>
      <w:r w:rsidR="00554EB3" w:rsidRPr="005434DD">
        <w:rPr>
          <w:rFonts w:ascii="Times New Roman" w:hAnsi="Times New Roman" w:cs="Times New Roman"/>
          <w:sz w:val="24"/>
          <w:szCs w:val="24"/>
        </w:rPr>
        <w:t>dilakukan dengan jelas, terbuka dan</w:t>
      </w:r>
      <w:r w:rsidR="006564AE">
        <w:rPr>
          <w:rFonts w:ascii="Times New Roman" w:hAnsi="Times New Roman" w:cs="Times New Roman"/>
          <w:sz w:val="24"/>
          <w:szCs w:val="24"/>
        </w:rPr>
        <w:t xml:space="preserve"> </w:t>
      </w:r>
      <w:r w:rsidR="00255120">
        <w:rPr>
          <w:rFonts w:ascii="Times New Roman" w:hAnsi="Times New Roman" w:cs="Times New Roman"/>
          <w:sz w:val="24"/>
          <w:szCs w:val="24"/>
        </w:rPr>
        <w:t>pasti</w:t>
      </w:r>
      <w:r w:rsidR="00554EB3" w:rsidRPr="005434DD">
        <w:rPr>
          <w:rFonts w:ascii="Times New Roman" w:hAnsi="Times New Roman" w:cs="Times New Roman"/>
          <w:sz w:val="24"/>
          <w:szCs w:val="24"/>
        </w:rPr>
        <w:t xml:space="preserve"> dengan penerapan hukum acara yang fleksibel demi kepentingan</w:t>
      </w:r>
      <w:r w:rsidR="00565E2E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434DD">
        <w:rPr>
          <w:rFonts w:ascii="Times New Roman" w:hAnsi="Times New Roman" w:cs="Times New Roman"/>
          <w:sz w:val="24"/>
          <w:szCs w:val="24"/>
        </w:rPr>
        <w:t>para pihak yang menghendaki acara yang sederhana.</w:t>
      </w:r>
      <w:r w:rsidR="002D7E6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55120" w:rsidRPr="00255120" w:rsidRDefault="00255120" w:rsidP="0025512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3195" w:rsidRPr="00E67D6B" w:rsidRDefault="001A529F" w:rsidP="00E67D6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537">
        <w:rPr>
          <w:rFonts w:ascii="Times New Roman" w:hAnsi="Times New Roman" w:cs="Times New Roman"/>
          <w:sz w:val="24"/>
          <w:szCs w:val="24"/>
        </w:rPr>
        <w:t>Banyak hal-hal lucu dan menggelikan tapi sekaligus menyedihkan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37">
        <w:rPr>
          <w:rFonts w:ascii="Times New Roman" w:hAnsi="Times New Roman" w:cs="Times New Roman"/>
          <w:sz w:val="24"/>
          <w:szCs w:val="24"/>
        </w:rPr>
        <w:t>dalam praktek pemeriksaan.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37">
        <w:rPr>
          <w:rFonts w:ascii="Times New Roman" w:hAnsi="Times New Roman" w:cs="Times New Roman"/>
          <w:sz w:val="24"/>
          <w:szCs w:val="24"/>
        </w:rPr>
        <w:t xml:space="preserve">Pemeriksaan mundur </w:t>
      </w:r>
      <w:r w:rsidR="00C32924">
        <w:rPr>
          <w:rFonts w:ascii="Times New Roman" w:hAnsi="Times New Roman" w:cs="Times New Roman"/>
          <w:sz w:val="24"/>
          <w:szCs w:val="24"/>
        </w:rPr>
        <w:t>terus</w:t>
      </w:r>
      <w:r w:rsidR="00554EB3" w:rsidRPr="007C6537">
        <w:rPr>
          <w:rFonts w:ascii="Times New Roman" w:hAnsi="Times New Roman" w:cs="Times New Roman"/>
          <w:sz w:val="24"/>
          <w:szCs w:val="24"/>
        </w:rPr>
        <w:t xml:space="preserve"> untuk sekian kali atas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7C6537">
        <w:rPr>
          <w:rFonts w:ascii="Times New Roman" w:hAnsi="Times New Roman" w:cs="Times New Roman"/>
          <w:sz w:val="24"/>
          <w:szCs w:val="24"/>
        </w:rPr>
        <w:t>berbagai alasan yang tidak sah menurut hukum. Hakim pilek, persidangan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7C6537">
        <w:rPr>
          <w:rFonts w:ascii="Times New Roman" w:hAnsi="Times New Roman" w:cs="Times New Roman"/>
          <w:sz w:val="24"/>
          <w:szCs w:val="24"/>
        </w:rPr>
        <w:t>mundur, hakim masuk kantor</w:t>
      </w:r>
      <w:r w:rsidR="00D63AE1">
        <w:rPr>
          <w:rFonts w:ascii="Times New Roman" w:hAnsi="Times New Roman" w:cs="Times New Roman"/>
          <w:sz w:val="24"/>
          <w:szCs w:val="24"/>
        </w:rPr>
        <w:t xml:space="preserve"> jam sebelas, pemeriksan mundur,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D63AE1" w:rsidRPr="007C6537">
        <w:rPr>
          <w:rFonts w:ascii="Times New Roman" w:hAnsi="Times New Roman" w:cs="Times New Roman"/>
          <w:sz w:val="24"/>
          <w:szCs w:val="24"/>
        </w:rPr>
        <w:t>hakim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814925">
        <w:rPr>
          <w:rFonts w:ascii="Times New Roman" w:hAnsi="Times New Roman" w:cs="Times New Roman"/>
          <w:sz w:val="24"/>
          <w:szCs w:val="24"/>
        </w:rPr>
        <w:t>malas</w:t>
      </w:r>
      <w:r w:rsidR="00D63AE1">
        <w:rPr>
          <w:rFonts w:ascii="Times New Roman" w:hAnsi="Times New Roman" w:cs="Times New Roman"/>
          <w:sz w:val="24"/>
          <w:szCs w:val="24"/>
        </w:rPr>
        <w:t>,</w:t>
      </w:r>
      <w:r w:rsidR="00554EB3" w:rsidRPr="007C6537">
        <w:rPr>
          <w:rFonts w:ascii="Times New Roman" w:hAnsi="Times New Roman" w:cs="Times New Roman"/>
          <w:sz w:val="24"/>
          <w:szCs w:val="24"/>
        </w:rPr>
        <w:t xml:space="preserve"> dijadikan alasan untuk mengundurkan pemeriksaan sidang,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7C6537">
        <w:rPr>
          <w:rFonts w:ascii="Times New Roman" w:hAnsi="Times New Roman" w:cs="Times New Roman"/>
          <w:sz w:val="24"/>
          <w:szCs w:val="24"/>
        </w:rPr>
        <w:t xml:space="preserve">sekalipun para pihak dari tempat yang jauh </w:t>
      </w:r>
      <w:r w:rsidR="00554EB3" w:rsidRPr="007C6537">
        <w:rPr>
          <w:rFonts w:ascii="Times New Roman" w:hAnsi="Times New Roman" w:cs="Times New Roman"/>
          <w:sz w:val="24"/>
          <w:szCs w:val="24"/>
        </w:rPr>
        <w:lastRenderedPageBreak/>
        <w:t>sudah susah payah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7C6537">
        <w:rPr>
          <w:rFonts w:ascii="Times New Roman" w:hAnsi="Times New Roman" w:cs="Times New Roman"/>
          <w:sz w:val="24"/>
          <w:szCs w:val="24"/>
        </w:rPr>
        <w:t>mengongkosi para saksi yang</w:t>
      </w:r>
      <w:r w:rsidR="00C32924">
        <w:rPr>
          <w:rFonts w:ascii="Times New Roman" w:hAnsi="Times New Roman" w:cs="Times New Roman"/>
          <w:sz w:val="24"/>
          <w:szCs w:val="24"/>
        </w:rPr>
        <w:t xml:space="preserve"> akan mereka hadapkan</w:t>
      </w:r>
      <w:r w:rsidR="00554EB3" w:rsidRPr="007C6537">
        <w:rPr>
          <w:rFonts w:ascii="Times New Roman" w:hAnsi="Times New Roman" w:cs="Times New Roman"/>
          <w:sz w:val="24"/>
          <w:szCs w:val="24"/>
        </w:rPr>
        <w:t xml:space="preserve">. </w:t>
      </w:r>
      <w:r w:rsidR="00814925">
        <w:rPr>
          <w:rFonts w:ascii="Times New Roman" w:hAnsi="Times New Roman" w:cs="Times New Roman"/>
          <w:sz w:val="24"/>
          <w:szCs w:val="24"/>
        </w:rPr>
        <w:t xml:space="preserve">Cara-cara yang </w:t>
      </w:r>
      <w:r w:rsidR="00554EB3" w:rsidRPr="007C6537">
        <w:rPr>
          <w:rFonts w:ascii="Times New Roman" w:hAnsi="Times New Roman" w:cs="Times New Roman"/>
          <w:sz w:val="24"/>
          <w:szCs w:val="24"/>
        </w:rPr>
        <w:t>demikian disamping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7C6537">
        <w:rPr>
          <w:rFonts w:ascii="Times New Roman" w:hAnsi="Times New Roman" w:cs="Times New Roman"/>
          <w:sz w:val="24"/>
          <w:szCs w:val="24"/>
        </w:rPr>
        <w:t>hakim tak bermoral, sekaligus tidak profesional.</w:t>
      </w:r>
    </w:p>
    <w:p w:rsidR="00872FD3" w:rsidRPr="00695461" w:rsidRDefault="00C516A5" w:rsidP="00C358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Pengertian </w:t>
      </w:r>
      <w:r w:rsidR="00554EB3" w:rsidRPr="0004428B">
        <w:rPr>
          <w:rFonts w:ascii="Times New Roman" w:hAnsi="Times New Roman" w:cs="Times New Roman"/>
          <w:b/>
          <w:sz w:val="24"/>
          <w:szCs w:val="24"/>
        </w:rPr>
        <w:t xml:space="preserve">Asas </w:t>
      </w:r>
      <w:r w:rsidR="00D239ED" w:rsidRPr="0004428B">
        <w:rPr>
          <w:rFonts w:ascii="Times New Roman" w:hAnsi="Times New Roman" w:cs="Times New Roman"/>
          <w:b/>
          <w:sz w:val="24"/>
          <w:szCs w:val="24"/>
        </w:rPr>
        <w:t>Cepat</w:t>
      </w:r>
      <w:r w:rsidR="0004428B" w:rsidRPr="0004428B">
        <w:rPr>
          <w:rFonts w:ascii="Times New Roman" w:hAnsi="Times New Roman" w:cs="Times New Roman"/>
          <w:b/>
          <w:sz w:val="24"/>
          <w:szCs w:val="24"/>
        </w:rPr>
        <w:t>.</w:t>
      </w:r>
    </w:p>
    <w:p w:rsidR="00695461" w:rsidRPr="00C358CE" w:rsidRDefault="00695461" w:rsidP="00296C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25" w:rsidRPr="008D03C9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E65">
        <w:rPr>
          <w:rFonts w:ascii="Times New Roman" w:hAnsi="Times New Roman" w:cs="Times New Roman"/>
          <w:sz w:val="24"/>
          <w:szCs w:val="24"/>
        </w:rPr>
        <w:t>Cepat secara bahasa artinya wakt</w:t>
      </w:r>
      <w:r w:rsidR="00D63AE1">
        <w:rPr>
          <w:rFonts w:ascii="Times New Roman" w:hAnsi="Times New Roman" w:cs="Times New Roman"/>
          <w:sz w:val="24"/>
          <w:szCs w:val="24"/>
        </w:rPr>
        <w:t xml:space="preserve">u singkat, dalam waktu singkat, </w:t>
      </w:r>
      <w:r w:rsidRPr="002D7E65">
        <w:rPr>
          <w:rFonts w:ascii="Times New Roman" w:hAnsi="Times New Roman" w:cs="Times New Roman"/>
          <w:sz w:val="24"/>
          <w:szCs w:val="24"/>
        </w:rPr>
        <w:t>segera, tidak banyak seluk beluknya (tidak banyak pernik).</w:t>
      </w:r>
      <w:r w:rsidR="002D7E6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2D7E65">
        <w:rPr>
          <w:rFonts w:ascii="Times New Roman" w:hAnsi="Times New Roman" w:cs="Times New Roman"/>
          <w:sz w:val="24"/>
          <w:szCs w:val="24"/>
        </w:rPr>
        <w:t>Cepat atau</w:t>
      </w:r>
      <w:r w:rsidR="005F1FFE">
        <w:rPr>
          <w:rFonts w:ascii="Times New Roman" w:hAnsi="Times New Roman" w:cs="Times New Roman"/>
          <w:sz w:val="24"/>
          <w:szCs w:val="24"/>
        </w:rPr>
        <w:t xml:space="preserve"> </w:t>
      </w:r>
      <w:r w:rsidR="00497AEA">
        <w:rPr>
          <w:rFonts w:ascii="Times New Roman" w:hAnsi="Times New Roman" w:cs="Times New Roman"/>
          <w:sz w:val="24"/>
          <w:szCs w:val="24"/>
        </w:rPr>
        <w:t>yang pantas mengacu pada tempo</w:t>
      </w:r>
      <w:r w:rsidRPr="002D7E65">
        <w:rPr>
          <w:rFonts w:ascii="Times New Roman" w:hAnsi="Times New Roman" w:cs="Times New Roman"/>
          <w:sz w:val="24"/>
          <w:szCs w:val="24"/>
        </w:rPr>
        <w:t xml:space="preserve"> cepat atau lambatnya penyelesaian</w:t>
      </w:r>
      <w:r w:rsidR="005F1FFE">
        <w:rPr>
          <w:rFonts w:ascii="Times New Roman" w:hAnsi="Times New Roman" w:cs="Times New Roman"/>
          <w:sz w:val="24"/>
          <w:szCs w:val="24"/>
        </w:rPr>
        <w:t xml:space="preserve"> </w:t>
      </w:r>
      <w:r w:rsidR="00497AEA">
        <w:rPr>
          <w:rFonts w:ascii="Times New Roman" w:hAnsi="Times New Roman" w:cs="Times New Roman"/>
          <w:sz w:val="24"/>
          <w:szCs w:val="24"/>
        </w:rPr>
        <w:t>perkar</w:t>
      </w:r>
      <w:r w:rsidR="001D52F3">
        <w:rPr>
          <w:rFonts w:ascii="Times New Roman" w:hAnsi="Times New Roman" w:cs="Times New Roman"/>
          <w:sz w:val="24"/>
          <w:szCs w:val="24"/>
        </w:rPr>
        <w:t>a</w:t>
      </w:r>
      <w:r w:rsidRPr="002D7E65">
        <w:rPr>
          <w:rFonts w:ascii="Times New Roman" w:hAnsi="Times New Roman" w:cs="Times New Roman"/>
          <w:sz w:val="24"/>
          <w:szCs w:val="24"/>
        </w:rPr>
        <w:t>.</w:t>
      </w:r>
      <w:r w:rsidR="002D7E65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497AEA">
        <w:rPr>
          <w:rFonts w:ascii="Times New Roman" w:hAnsi="Times New Roman" w:cs="Times New Roman"/>
          <w:sz w:val="24"/>
          <w:szCs w:val="24"/>
        </w:rPr>
        <w:t xml:space="preserve"> </w:t>
      </w:r>
      <w:r w:rsidR="00551E51" w:rsidRPr="008D03C9">
        <w:rPr>
          <w:rFonts w:ascii="Times New Roman" w:hAnsi="Times New Roman" w:cs="Times New Roman"/>
          <w:sz w:val="24"/>
          <w:szCs w:val="24"/>
        </w:rPr>
        <w:t xml:space="preserve">Menurut A. </w:t>
      </w:r>
      <w:r w:rsidR="00814925" w:rsidRPr="008D03C9">
        <w:rPr>
          <w:rFonts w:ascii="Times New Roman" w:hAnsi="Times New Roman" w:cs="Times New Roman"/>
          <w:sz w:val="24"/>
          <w:szCs w:val="24"/>
        </w:rPr>
        <w:t>Mukti Arto</w:t>
      </w:r>
      <w:r w:rsidR="00551E51" w:rsidRPr="008D03C9">
        <w:rPr>
          <w:rFonts w:ascii="Times New Roman" w:hAnsi="Times New Roman" w:cs="Times New Roman"/>
          <w:sz w:val="24"/>
          <w:szCs w:val="24"/>
        </w:rPr>
        <w:t xml:space="preserve">, beliau </w:t>
      </w:r>
      <w:r w:rsidR="00814925" w:rsidRPr="008D03C9">
        <w:rPr>
          <w:rFonts w:ascii="Times New Roman" w:hAnsi="Times New Roman" w:cs="Times New Roman"/>
          <w:sz w:val="24"/>
          <w:szCs w:val="24"/>
        </w:rPr>
        <w:t xml:space="preserve"> m</w:t>
      </w:r>
      <w:r w:rsidR="00551E51" w:rsidRPr="008D03C9">
        <w:rPr>
          <w:rFonts w:ascii="Times New Roman" w:hAnsi="Times New Roman" w:cs="Times New Roman"/>
          <w:sz w:val="24"/>
          <w:szCs w:val="24"/>
        </w:rPr>
        <w:t>e</w:t>
      </w:r>
      <w:r w:rsidR="00814925" w:rsidRPr="008D03C9">
        <w:rPr>
          <w:rFonts w:ascii="Times New Roman" w:hAnsi="Times New Roman" w:cs="Times New Roman"/>
          <w:sz w:val="24"/>
          <w:szCs w:val="24"/>
        </w:rPr>
        <w:t>n</w:t>
      </w:r>
      <w:r w:rsidR="00551E51" w:rsidRPr="008D03C9">
        <w:rPr>
          <w:rFonts w:ascii="Times New Roman" w:hAnsi="Times New Roman" w:cs="Times New Roman"/>
          <w:sz w:val="24"/>
          <w:szCs w:val="24"/>
        </w:rPr>
        <w:t>g</w:t>
      </w:r>
      <w:r w:rsidR="00814925" w:rsidRPr="008D03C9">
        <w:rPr>
          <w:rFonts w:ascii="Times New Roman" w:hAnsi="Times New Roman" w:cs="Times New Roman"/>
          <w:sz w:val="24"/>
          <w:szCs w:val="24"/>
        </w:rPr>
        <w:t>emukakan bahwa</w:t>
      </w:r>
      <w:r w:rsidR="00551E51" w:rsidRPr="008D03C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D1CCC" w:rsidRDefault="00554EB3" w:rsidP="00497AEA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CCC">
        <w:rPr>
          <w:rFonts w:ascii="Times New Roman" w:hAnsi="Times New Roman" w:cs="Times New Roman"/>
          <w:sz w:val="24"/>
          <w:szCs w:val="24"/>
        </w:rPr>
        <w:t>Asas cepat dalam proses peradilan disini artinya penyelesaian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perkara memakan waktu tidak terlalu lama. Mahkamah Agung dalam surat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edaran No. 1 tahun 1992 memberikan batasan waktu paling lama enam (6)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bulan, artinya setiap perkara harus dapat diselesaikan dalam waktu enam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(6) bulan sejak perkara itu didaftarka</w:t>
      </w:r>
      <w:r w:rsidR="004019B0">
        <w:rPr>
          <w:rFonts w:ascii="Times New Roman" w:hAnsi="Times New Roman" w:cs="Times New Roman"/>
          <w:sz w:val="24"/>
          <w:szCs w:val="24"/>
        </w:rPr>
        <w:t xml:space="preserve">n di </w:t>
      </w:r>
      <w:r w:rsidR="002D7E65" w:rsidRPr="008D1CCC">
        <w:rPr>
          <w:rFonts w:ascii="Times New Roman" w:hAnsi="Times New Roman" w:cs="Times New Roman"/>
          <w:sz w:val="24"/>
          <w:szCs w:val="24"/>
        </w:rPr>
        <w:t xml:space="preserve">kepaniteraan, kecuali jika </w:t>
      </w:r>
      <w:r w:rsidRPr="008D1CCC">
        <w:rPr>
          <w:rFonts w:ascii="Times New Roman" w:hAnsi="Times New Roman" w:cs="Times New Roman"/>
          <w:sz w:val="24"/>
          <w:szCs w:val="24"/>
        </w:rPr>
        <w:t>memang menurut ketentuan hukum tidak mungkin diselesaikan dalam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waktu enam bulan. Namun demikian, penyelesaian yang cepat ini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senanti</w:t>
      </w:r>
      <w:r w:rsidR="004019B0">
        <w:rPr>
          <w:rFonts w:ascii="Times New Roman" w:hAnsi="Times New Roman" w:cs="Times New Roman"/>
          <w:sz w:val="24"/>
          <w:szCs w:val="24"/>
        </w:rPr>
        <w:t>a</w:t>
      </w:r>
      <w:r w:rsidRPr="008D1CCC">
        <w:rPr>
          <w:rFonts w:ascii="Times New Roman" w:hAnsi="Times New Roman" w:cs="Times New Roman"/>
          <w:sz w:val="24"/>
          <w:szCs w:val="24"/>
        </w:rPr>
        <w:t>sa harus berjalan di atas aturan hukum yang benar, adil dan teliti.</w:t>
      </w:r>
      <w:r w:rsidR="002F69D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F69D8" w:rsidRDefault="002F69D8" w:rsidP="002F69D8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1CCC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CCC">
        <w:rPr>
          <w:rFonts w:ascii="Times New Roman" w:hAnsi="Times New Roman" w:cs="Times New Roman"/>
          <w:sz w:val="24"/>
          <w:szCs w:val="24"/>
        </w:rPr>
        <w:t>Asas cepat ini bukan bertujuan untuk menyuruh hakim memeriksa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dan memutus perkara perceraian misalnya dalam tempo satu jam atau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setengah jam. Yang dicita-citakan ialah suatu proses pemeriksaan yang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relatif tidak memakan jangka waktu yang lama sampai bertahun-tahun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sesuai dengan kesede</w:t>
      </w:r>
      <w:r w:rsidR="002D7E65" w:rsidRPr="008D1CCC">
        <w:rPr>
          <w:rFonts w:ascii="Times New Roman" w:hAnsi="Times New Roman" w:cs="Times New Roman"/>
          <w:sz w:val="24"/>
          <w:szCs w:val="24"/>
        </w:rPr>
        <w:t>rhanaan hukum acara itu sendiri</w:t>
      </w:r>
      <w:r w:rsidR="00A12FFF">
        <w:rPr>
          <w:rFonts w:ascii="Times New Roman" w:hAnsi="Times New Roman" w:cs="Times New Roman"/>
          <w:sz w:val="24"/>
          <w:szCs w:val="24"/>
        </w:rPr>
        <w:t>.</w:t>
      </w:r>
    </w:p>
    <w:p w:rsidR="003A3E51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CCC">
        <w:rPr>
          <w:rFonts w:ascii="Times New Roman" w:hAnsi="Times New Roman" w:cs="Times New Roman"/>
          <w:sz w:val="24"/>
          <w:szCs w:val="24"/>
        </w:rPr>
        <w:t>Jadi yang dituntut dari hakim dalam penerapan asas ini ialah sikap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 xml:space="preserve">tidak cenderung secara ekstrim melakukan pemeriksaan </w:t>
      </w:r>
      <w:r w:rsidR="00A12FFF">
        <w:rPr>
          <w:rFonts w:ascii="Times New Roman" w:hAnsi="Times New Roman" w:cs="Times New Roman"/>
          <w:sz w:val="24"/>
          <w:szCs w:val="24"/>
        </w:rPr>
        <w:t xml:space="preserve">secara tergesa-gesa, </w:t>
      </w:r>
      <w:r w:rsidRPr="008D1CCC">
        <w:rPr>
          <w:rFonts w:ascii="Times New Roman" w:hAnsi="Times New Roman" w:cs="Times New Roman"/>
          <w:sz w:val="24"/>
          <w:szCs w:val="24"/>
        </w:rPr>
        <w:t xml:space="preserve">sehingga </w:t>
      </w:r>
      <w:r w:rsidRPr="008D1CCC">
        <w:rPr>
          <w:rFonts w:ascii="Times New Roman" w:hAnsi="Times New Roman" w:cs="Times New Roman"/>
          <w:sz w:val="24"/>
          <w:szCs w:val="24"/>
        </w:rPr>
        <w:lastRenderedPageBreak/>
        <w:t>jalannya pemeriksaan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menanggalkan h</w:t>
      </w:r>
      <w:r w:rsidR="005B7E3F">
        <w:rPr>
          <w:rFonts w:ascii="Times New Roman" w:hAnsi="Times New Roman" w:cs="Times New Roman"/>
          <w:sz w:val="24"/>
          <w:szCs w:val="24"/>
        </w:rPr>
        <w:t>arkat dan derajat kemanusiaan t</w:t>
      </w:r>
      <w:r w:rsidRPr="008D1CCC">
        <w:rPr>
          <w:rFonts w:ascii="Times New Roman" w:hAnsi="Times New Roman" w:cs="Times New Roman"/>
          <w:sz w:val="24"/>
          <w:szCs w:val="24"/>
        </w:rPr>
        <w:t>etapi sengaja dilambat</w:t>
      </w:r>
      <w:r w:rsidR="005B7E3F">
        <w:rPr>
          <w:rFonts w:ascii="Times New Roman" w:hAnsi="Times New Roman" w:cs="Times New Roman"/>
          <w:sz w:val="24"/>
          <w:szCs w:val="24"/>
        </w:rPr>
        <w:t>-</w:t>
      </w:r>
      <w:r w:rsidRPr="008D1CCC">
        <w:rPr>
          <w:rFonts w:ascii="Times New Roman" w:hAnsi="Times New Roman" w:cs="Times New Roman"/>
          <w:sz w:val="24"/>
          <w:szCs w:val="24"/>
        </w:rPr>
        <w:t>lambatkan.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Lakukan pemeriksaan yang seksama dan wajar, rasional dan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obyektif</w:t>
      </w:r>
      <w:r w:rsidR="005B7E3F">
        <w:rPr>
          <w:rFonts w:ascii="Times New Roman" w:hAnsi="Times New Roman" w:cs="Times New Roman"/>
          <w:sz w:val="24"/>
          <w:szCs w:val="24"/>
        </w:rPr>
        <w:t xml:space="preserve"> dengan cara memberi kesempatan </w:t>
      </w:r>
      <w:r w:rsidRPr="008D1CCC">
        <w:rPr>
          <w:rFonts w:ascii="Times New Roman" w:hAnsi="Times New Roman" w:cs="Times New Roman"/>
          <w:sz w:val="24"/>
          <w:szCs w:val="24"/>
        </w:rPr>
        <w:t>yang berimbang dan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8D1CCC">
        <w:rPr>
          <w:rFonts w:ascii="Times New Roman" w:hAnsi="Times New Roman" w:cs="Times New Roman"/>
          <w:sz w:val="24"/>
          <w:szCs w:val="24"/>
        </w:rPr>
        <w:t>sepatutnya kepada masing-masing pihak yang berperkara.</w:t>
      </w:r>
    </w:p>
    <w:p w:rsidR="003A3E51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E51">
        <w:rPr>
          <w:rFonts w:ascii="Times New Roman" w:hAnsi="Times New Roman" w:cs="Times New Roman"/>
          <w:sz w:val="24"/>
          <w:szCs w:val="24"/>
        </w:rPr>
        <w:t>Hal kedua penerapan asas ini tidak boleh mengurangi ketepatan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pemeriksaan dan pe</w:t>
      </w:r>
      <w:r w:rsidR="005B7E3F">
        <w:rPr>
          <w:rFonts w:ascii="Times New Roman" w:hAnsi="Times New Roman" w:cs="Times New Roman"/>
          <w:sz w:val="24"/>
          <w:szCs w:val="24"/>
        </w:rPr>
        <w:t xml:space="preserve">nilaian menurut hukum keadilan. </w:t>
      </w:r>
      <w:r w:rsidRPr="003A3E51">
        <w:rPr>
          <w:rFonts w:ascii="Times New Roman" w:hAnsi="Times New Roman" w:cs="Times New Roman"/>
          <w:sz w:val="24"/>
          <w:szCs w:val="24"/>
        </w:rPr>
        <w:t>Untuk apa proses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pemeriksaan dengan cara cepat kalau hukum yang ditegakan di dalamnya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b</w:t>
      </w:r>
      <w:r w:rsidR="005D777D">
        <w:rPr>
          <w:rFonts w:ascii="Times New Roman" w:hAnsi="Times New Roman" w:cs="Times New Roman"/>
          <w:sz w:val="24"/>
          <w:szCs w:val="24"/>
        </w:rPr>
        <w:t xml:space="preserve">erisikan kepalsuan </w:t>
      </w:r>
      <w:r w:rsidRPr="003A3E51">
        <w:rPr>
          <w:rFonts w:ascii="Times New Roman" w:hAnsi="Times New Roman" w:cs="Times New Roman"/>
          <w:sz w:val="24"/>
          <w:szCs w:val="24"/>
        </w:rPr>
        <w:t>terhadap kebenaran dan keadilan.</w:t>
      </w:r>
      <w:r w:rsidR="005D777D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Akan tetapi sebaliknya untuk apa kebenaran dan keadilan yang diperoleh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dengan penuh kesengsaraan dan kepahitan dan dalam satu penantian yang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tak kunjung tiba.</w:t>
      </w:r>
    </w:p>
    <w:p w:rsidR="00021FE9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E51">
        <w:rPr>
          <w:rFonts w:ascii="Times New Roman" w:hAnsi="Times New Roman" w:cs="Times New Roman"/>
          <w:sz w:val="24"/>
          <w:szCs w:val="24"/>
        </w:rPr>
        <w:t>Sedemikian rupa lamanya menunggu sampai berpuluh tahun dalam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kebimbangan dan keresahan. Terkadang lantaran lamanya suatu proses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penyelesaian perkara putusan akhir baru tiba setelah pihak yang berperkara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meninggal dunia berpuluh tahun. Dalam kepedihan yang seperti ini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sekirannya putusan yang dijatuhkan tepat benar dan adil, (kemungkinan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besar kebenaran dan keadilan yang tertuang di dalamnya, sudah hancur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 xml:space="preserve">ditelan oleh proses perubahan dan perkembangan nilai). </w:t>
      </w:r>
      <w:r w:rsidR="00D177FF">
        <w:rPr>
          <w:rFonts w:ascii="Times New Roman" w:hAnsi="Times New Roman" w:cs="Times New Roman"/>
          <w:sz w:val="24"/>
          <w:szCs w:val="20"/>
        </w:rPr>
        <w:t xml:space="preserve">M. Yahya Harahap dalam bukunya </w:t>
      </w:r>
      <w:r w:rsidR="00D177FF" w:rsidRPr="00D177FF">
        <w:rPr>
          <w:rFonts w:ascii="Times New Roman" w:hAnsi="Times New Roman" w:cs="Times New Roman"/>
          <w:i/>
          <w:iCs/>
          <w:sz w:val="24"/>
          <w:szCs w:val="20"/>
        </w:rPr>
        <w:t>Kedudukan Kewenangan dan Acara Peradilan Agama</w:t>
      </w:r>
      <w:r w:rsidR="00EE07EE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D177FF">
        <w:rPr>
          <w:rFonts w:ascii="Times New Roman" w:hAnsi="Times New Roman" w:cs="Times New Roman"/>
          <w:iCs/>
          <w:sz w:val="24"/>
          <w:szCs w:val="20"/>
        </w:rPr>
        <w:t>memberikan contoh</w:t>
      </w:r>
      <w:r w:rsidR="00BE6A05">
        <w:rPr>
          <w:rFonts w:ascii="Times New Roman" w:hAnsi="Times New Roman" w:cs="Times New Roman"/>
          <w:iCs/>
          <w:sz w:val="24"/>
          <w:szCs w:val="20"/>
        </w:rPr>
        <w:t xml:space="preserve"> kasus</w:t>
      </w:r>
      <w:r w:rsidR="00DF4050">
        <w:rPr>
          <w:rFonts w:ascii="Times New Roman" w:hAnsi="Times New Roman" w:cs="Times New Roman"/>
          <w:sz w:val="24"/>
          <w:szCs w:val="24"/>
        </w:rPr>
        <w:t>,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suami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isteri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dan mempunyai harta bersama sejumlah Rp 5.000.000,- . gugatan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isteri diajukan pada tahun 1970 agar uang itu dibagi masing-masing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 xml:space="preserve">bagian. Dalam persidangan gugatan terbukti dan </w:t>
      </w:r>
      <w:r w:rsidRPr="003A3E51">
        <w:rPr>
          <w:rFonts w:ascii="Times New Roman" w:hAnsi="Times New Roman" w:cs="Times New Roman"/>
          <w:sz w:val="24"/>
          <w:szCs w:val="24"/>
        </w:rPr>
        <w:lastRenderedPageBreak/>
        <w:t>dikabulkan sehingga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D177FF">
        <w:rPr>
          <w:rFonts w:ascii="Times New Roman" w:hAnsi="Times New Roman" w:cs="Times New Roman"/>
          <w:sz w:val="24"/>
          <w:szCs w:val="24"/>
        </w:rPr>
        <w:t>putusan yang dijatuhkan tepat</w:t>
      </w:r>
      <w:r w:rsidRPr="003A3E51">
        <w:rPr>
          <w:rFonts w:ascii="Times New Roman" w:hAnsi="Times New Roman" w:cs="Times New Roman"/>
          <w:sz w:val="24"/>
          <w:szCs w:val="24"/>
        </w:rPr>
        <w:t xml:space="preserve"> dan sesuai dengan kebenaran dan</w:t>
      </w:r>
      <w:r w:rsidR="005B7E3F">
        <w:rPr>
          <w:rFonts w:ascii="Times New Roman" w:hAnsi="Times New Roman" w:cs="Times New Roman"/>
          <w:sz w:val="24"/>
          <w:szCs w:val="24"/>
        </w:rPr>
        <w:t xml:space="preserve"> keadilan</w:t>
      </w:r>
      <w:r w:rsidRPr="003A3E51">
        <w:rPr>
          <w:rFonts w:ascii="Times New Roman" w:hAnsi="Times New Roman" w:cs="Times New Roman"/>
          <w:sz w:val="24"/>
          <w:szCs w:val="24"/>
        </w:rPr>
        <w:t>. Namun putusan akhir</w:t>
      </w:r>
      <w:r w:rsidR="005B7E3F">
        <w:rPr>
          <w:rFonts w:ascii="Times New Roman" w:hAnsi="Times New Roman" w:cs="Times New Roman"/>
          <w:sz w:val="24"/>
          <w:szCs w:val="24"/>
        </w:rPr>
        <w:t xml:space="preserve"> baru diterima pada tahun 1985.</w:t>
      </w:r>
      <w:r w:rsidR="00D177F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395D56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E51">
        <w:rPr>
          <w:rFonts w:ascii="Times New Roman" w:hAnsi="Times New Roman" w:cs="Times New Roman"/>
          <w:sz w:val="24"/>
          <w:szCs w:val="24"/>
        </w:rPr>
        <w:t>Berarti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proses penyelesaian berjangka 15 tahun. Kebenaran dan keadilan apalagi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yang diperoleh dan dinikmati isteri dari putusan tersebut adalah sama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sekali tidak ada. Kebenaran dan keadilan yang tertuang dalam putusan itu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sudah palsu dan hancur ditelan inflansi dari tahun 1970, masih kuat nilai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harganya dan sangat berarti dipergunakan sebagai modal bahkan cukup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untuk membangun rumah yang agak mewah. Tetapi oleh karena putusan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dan eksekusi baru dilaksanakan pada tahun 1985, uang sejumlah itu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paling-paling hanya berarti untuk membeli alat dapur dan sedikit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perabotan. Benar-benar putusan yang tep</w:t>
      </w:r>
      <w:r w:rsidR="002D7E65" w:rsidRPr="003A3E51">
        <w:rPr>
          <w:rFonts w:ascii="Times New Roman" w:hAnsi="Times New Roman" w:cs="Times New Roman"/>
          <w:sz w:val="24"/>
          <w:szCs w:val="24"/>
        </w:rPr>
        <w:t xml:space="preserve">at dan benar itu tidak tepat dan </w:t>
      </w:r>
      <w:r w:rsidRPr="003A3E51">
        <w:rPr>
          <w:rFonts w:ascii="Times New Roman" w:hAnsi="Times New Roman" w:cs="Times New Roman"/>
          <w:sz w:val="24"/>
          <w:szCs w:val="24"/>
        </w:rPr>
        <w:t>tidak benar lagi, karena nilai harga dan daya beli uang itu sudah merosot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3E51">
        <w:rPr>
          <w:rFonts w:ascii="Times New Roman" w:hAnsi="Times New Roman" w:cs="Times New Roman"/>
          <w:sz w:val="24"/>
          <w:szCs w:val="24"/>
        </w:rPr>
        <w:t>sampai ratusan kali.</w:t>
      </w:r>
    </w:p>
    <w:p w:rsidR="00395D56" w:rsidRDefault="00554EB3" w:rsidP="0019425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56">
        <w:rPr>
          <w:rFonts w:ascii="Times New Roman" w:hAnsi="Times New Roman" w:cs="Times New Roman"/>
          <w:sz w:val="24"/>
          <w:szCs w:val="24"/>
        </w:rPr>
        <w:t>Dari contoh yang sangat sederhana tersebut dapat dilihat betapa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pentingnya asas peradilan yang cepat dan tepat. Dalam suatu putusan yang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cepat dan tepat terkandung keadilan yang bernilai lebih. Ketetapan putusan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sesuai dengan hukum, kebenaran dan keadilan itu saja sudah mengandung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nilai keadilan tersendiri, dan kecepatan penyelesainnya dalam putusan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yang cepat dan tepat terdapat rasa keadilan yang saling mengisi dalam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penegakan hukum.</w:t>
      </w:r>
    </w:p>
    <w:p w:rsidR="007B1C84" w:rsidRPr="00723195" w:rsidRDefault="00554EB3" w:rsidP="00723195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D56">
        <w:rPr>
          <w:rFonts w:ascii="Times New Roman" w:hAnsi="Times New Roman" w:cs="Times New Roman"/>
          <w:sz w:val="24"/>
          <w:szCs w:val="24"/>
        </w:rPr>
        <w:t>Bahkan dari sudut kegembiraan dan kelegaan menerima putusan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yang cepat dan tepat mengandung nilai kepuasan tersendiri, dan ikut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 xml:space="preserve">mendukung nilai kebenaran </w:t>
      </w:r>
      <w:r w:rsidRPr="00395D56">
        <w:rPr>
          <w:rFonts w:ascii="Times New Roman" w:hAnsi="Times New Roman" w:cs="Times New Roman"/>
          <w:sz w:val="24"/>
          <w:szCs w:val="24"/>
        </w:rPr>
        <w:lastRenderedPageBreak/>
        <w:t>keadilan yang tertuang dalam putusan.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Apalagi kesederhanaan, kecepatan, dan ketepatan putusan dibarengi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dengan pelayanan pemeriksaan yang sopan dan mandiri, semakin tinggi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95D56">
        <w:rPr>
          <w:rFonts w:ascii="Times New Roman" w:hAnsi="Times New Roman" w:cs="Times New Roman"/>
          <w:sz w:val="24"/>
          <w:szCs w:val="24"/>
        </w:rPr>
        <w:t>derajat nilai kebenaran dan keadilan.</w:t>
      </w:r>
    </w:p>
    <w:p w:rsidR="004E4C03" w:rsidRDefault="00145FBA" w:rsidP="00395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Pengertian </w:t>
      </w:r>
      <w:r w:rsidR="00554EB3" w:rsidRPr="00395D56">
        <w:rPr>
          <w:rFonts w:ascii="Times New Roman" w:hAnsi="Times New Roman" w:cs="Times New Roman"/>
          <w:b/>
          <w:sz w:val="24"/>
          <w:szCs w:val="24"/>
        </w:rPr>
        <w:t xml:space="preserve">Asas </w:t>
      </w:r>
      <w:r w:rsidR="00395D56" w:rsidRPr="00395D56">
        <w:rPr>
          <w:rFonts w:ascii="Times New Roman" w:hAnsi="Times New Roman" w:cs="Times New Roman"/>
          <w:b/>
          <w:sz w:val="24"/>
          <w:szCs w:val="24"/>
        </w:rPr>
        <w:t>Biaya Ringan</w:t>
      </w:r>
      <w:r w:rsidR="00395D56">
        <w:rPr>
          <w:rFonts w:ascii="Times New Roman" w:hAnsi="Times New Roman" w:cs="Times New Roman"/>
          <w:b/>
          <w:sz w:val="24"/>
          <w:szCs w:val="24"/>
        </w:rPr>
        <w:t>.</w:t>
      </w:r>
    </w:p>
    <w:p w:rsidR="00021FE9" w:rsidRPr="00395D56" w:rsidRDefault="00021FE9" w:rsidP="0019425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E1" w:rsidRPr="007C7F90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C03">
        <w:rPr>
          <w:rFonts w:ascii="Times New Roman" w:hAnsi="Times New Roman" w:cs="Times New Roman"/>
          <w:sz w:val="24"/>
          <w:szCs w:val="24"/>
        </w:rPr>
        <w:t>Secara bahasa biaya artinya uang yang dikeluarkan untuk</w:t>
      </w:r>
      <w:r w:rsidR="004019B0">
        <w:rPr>
          <w:rFonts w:ascii="Times New Roman" w:hAnsi="Times New Roman" w:cs="Times New Roman"/>
          <w:sz w:val="24"/>
          <w:szCs w:val="24"/>
        </w:rPr>
        <w:t xml:space="preserve"> </w:t>
      </w:r>
      <w:r w:rsidRPr="004E4C03">
        <w:rPr>
          <w:rFonts w:ascii="Times New Roman" w:hAnsi="Times New Roman" w:cs="Times New Roman"/>
          <w:sz w:val="24"/>
          <w:szCs w:val="24"/>
        </w:rPr>
        <w:t>mengadakan (mendirikan, melakukan, dan sebagainya) sesuatu, ongkos (administrasi ; ongkos yang dikeluarkan untuk pengurusan surat dan</w:t>
      </w:r>
      <w:r w:rsidR="00EE0BAD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sebagainya), biaya perkara seperti pemanggilan saksi dan materai.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DF4050">
        <w:rPr>
          <w:rFonts w:ascii="Times New Roman" w:hAnsi="Times New Roman" w:cs="Times New Roman"/>
          <w:sz w:val="24"/>
          <w:szCs w:val="24"/>
        </w:rPr>
        <w:t xml:space="preserve">Menurut Setiawan </w:t>
      </w:r>
      <w:r w:rsidRPr="00554EB3">
        <w:rPr>
          <w:rFonts w:ascii="Times New Roman" w:hAnsi="Times New Roman" w:cs="Times New Roman"/>
          <w:sz w:val="24"/>
          <w:szCs w:val="24"/>
        </w:rPr>
        <w:t>ringan disini mengacu pada banyak atau sedikitnya biaya yang</w:t>
      </w:r>
      <w:r w:rsidR="00EF3BE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harus dikeluarkan oleh pencari keadilan dalam menyelesaikan sengketanya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 depan pengadilan.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7627E1" w:rsidRPr="007C7F90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Dan menurut A. Mukti Arto, beliau mengemukakan bahwa :</w:t>
      </w:r>
    </w:p>
    <w:p w:rsidR="007B089C" w:rsidRDefault="00554EB3" w:rsidP="00DF4050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89C">
        <w:rPr>
          <w:rFonts w:ascii="Times New Roman" w:hAnsi="Times New Roman" w:cs="Times New Roman"/>
          <w:sz w:val="24"/>
          <w:szCs w:val="24"/>
        </w:rPr>
        <w:t>Biaya ringan dalam hal ini berarti tidak dibutuhkan biaya lain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kecuali benar-benar diperlukan secara riil untuk penyelesaian perkara.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Biaya harus ada tarif yang jelas dan seringan-ringannya. Segala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pembayaran di pengadilan harus jelas kegunaa</w:t>
      </w:r>
      <w:r w:rsidR="00762764">
        <w:rPr>
          <w:rFonts w:ascii="Times New Roman" w:hAnsi="Times New Roman" w:cs="Times New Roman"/>
          <w:sz w:val="24"/>
          <w:szCs w:val="24"/>
        </w:rPr>
        <w:t>n</w:t>
      </w:r>
      <w:r w:rsidRPr="007B089C">
        <w:rPr>
          <w:rFonts w:ascii="Times New Roman" w:hAnsi="Times New Roman" w:cs="Times New Roman"/>
          <w:sz w:val="24"/>
          <w:szCs w:val="24"/>
        </w:rPr>
        <w:t>nya dan diberi tanda terima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 xml:space="preserve">uang. </w:t>
      </w:r>
      <w:r w:rsidR="00762764">
        <w:rPr>
          <w:rFonts w:ascii="Times New Roman" w:hAnsi="Times New Roman" w:cs="Times New Roman"/>
          <w:sz w:val="24"/>
          <w:szCs w:val="24"/>
        </w:rPr>
        <w:t>Pengadilan harus mempertanggung</w:t>
      </w:r>
      <w:r w:rsidRPr="007B089C">
        <w:rPr>
          <w:rFonts w:ascii="Times New Roman" w:hAnsi="Times New Roman" w:cs="Times New Roman"/>
          <w:sz w:val="24"/>
          <w:szCs w:val="24"/>
        </w:rPr>
        <w:t>jawabkan uang tersebut kepada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yang bersangkutan dengan mencatatkannya dalam jurnal keuangan perkara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sehingga yang bersangkutan dapat melihatnya sewaktu-waktu.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7627E1" w:rsidRDefault="007627E1" w:rsidP="007627E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3195" w:rsidRDefault="00554EB3" w:rsidP="00723195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89C">
        <w:rPr>
          <w:rFonts w:ascii="Times New Roman" w:hAnsi="Times New Roman" w:cs="Times New Roman"/>
          <w:sz w:val="24"/>
          <w:szCs w:val="24"/>
        </w:rPr>
        <w:t>Menurut pasal 121 HIR (1) penetapan biaya perkara dilakukan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sesudah surat gugatan dibuat itu telah didaftarkan oleh panitera di dalam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 xml:space="preserve">daftar yang disediakan untuk itu, maka ketua menentukan hari dan jam,waktu perkara itu akan diperikasa di </w:t>
      </w:r>
      <w:r w:rsidRPr="007B089C">
        <w:rPr>
          <w:rFonts w:ascii="Times New Roman" w:hAnsi="Times New Roman" w:cs="Times New Roman"/>
          <w:sz w:val="24"/>
          <w:szCs w:val="24"/>
        </w:rPr>
        <w:lastRenderedPageBreak/>
        <w:t>muka pengadilan. Dalam pasal 121</w:t>
      </w:r>
      <w:r w:rsidR="000A5F63">
        <w:rPr>
          <w:rFonts w:ascii="Times New Roman" w:hAnsi="Times New Roman" w:cs="Times New Roman"/>
          <w:sz w:val="24"/>
          <w:szCs w:val="24"/>
        </w:rPr>
        <w:t xml:space="preserve"> (4) HIR menentukan </w:t>
      </w:r>
      <w:r w:rsidRPr="007B089C">
        <w:rPr>
          <w:rFonts w:ascii="Times New Roman" w:hAnsi="Times New Roman" w:cs="Times New Roman"/>
          <w:sz w:val="24"/>
          <w:szCs w:val="24"/>
        </w:rPr>
        <w:t>mendaftarkan dalam daftar seperti yang dimaksud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dalam ayat pertama, tidak boleh dilakukan sebelum oleh penggugat ayat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pertama, tidak boleh dilakukan sebelum oleh penggugat dibayar lebih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dahulu kepada panitera sejumlah uang yang besarnya untuk sementara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 xml:space="preserve">diperkirakan oleh </w:t>
      </w:r>
      <w:r w:rsidR="000A5F63" w:rsidRPr="007B089C">
        <w:rPr>
          <w:rFonts w:ascii="Times New Roman" w:hAnsi="Times New Roman" w:cs="Times New Roman"/>
          <w:sz w:val="24"/>
          <w:szCs w:val="24"/>
        </w:rPr>
        <w:t xml:space="preserve">ketua </w:t>
      </w:r>
      <w:r w:rsidR="00C821C7">
        <w:rPr>
          <w:rFonts w:ascii="Times New Roman" w:hAnsi="Times New Roman" w:cs="Times New Roman"/>
          <w:sz w:val="24"/>
          <w:szCs w:val="24"/>
        </w:rPr>
        <w:t>Pengadilan Agama</w:t>
      </w:r>
      <w:r w:rsidRPr="007B089C">
        <w:rPr>
          <w:rFonts w:ascii="Times New Roman" w:hAnsi="Times New Roman" w:cs="Times New Roman"/>
          <w:sz w:val="24"/>
          <w:szCs w:val="24"/>
        </w:rPr>
        <w:t xml:space="preserve"> menurut keadaan perkara,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untuk ongkos kantor panitera, ongkos pemanggilan serta pemberitahuan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yang diwajibkan kepada kedua pihak dan harga materai yang akan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7B089C">
        <w:rPr>
          <w:rFonts w:ascii="Times New Roman" w:hAnsi="Times New Roman" w:cs="Times New Roman"/>
          <w:sz w:val="24"/>
          <w:szCs w:val="24"/>
        </w:rPr>
        <w:t>diperhitungkan. Jumlah yang dibayar lebih dahulu itu akan diperhitungkan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985840">
        <w:rPr>
          <w:rFonts w:ascii="Times New Roman" w:hAnsi="Times New Roman" w:cs="Times New Roman"/>
          <w:sz w:val="24"/>
          <w:szCs w:val="24"/>
        </w:rPr>
        <w:t>kemudian</w:t>
      </w:r>
      <w:r w:rsidRPr="007B089C">
        <w:rPr>
          <w:rFonts w:ascii="Times New Roman" w:hAnsi="Times New Roman" w:cs="Times New Roman"/>
          <w:sz w:val="24"/>
          <w:szCs w:val="24"/>
        </w:rPr>
        <w:t>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A75AEF" w:rsidRPr="007C7F90" w:rsidRDefault="00554EB3" w:rsidP="00723195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t>Dalam pasal 59 (1) Undang-undang No 5 tahun 1986 dikatakan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985840">
        <w:rPr>
          <w:rFonts w:ascii="Times New Roman" w:hAnsi="Times New Roman" w:cs="Times New Roman"/>
          <w:sz w:val="24"/>
          <w:szCs w:val="24"/>
        </w:rPr>
        <w:t xml:space="preserve">bahwa </w:t>
      </w:r>
      <w:r w:rsidRPr="003A11F6">
        <w:rPr>
          <w:rFonts w:ascii="Times New Roman" w:hAnsi="Times New Roman" w:cs="Times New Roman"/>
          <w:sz w:val="24"/>
          <w:szCs w:val="24"/>
        </w:rPr>
        <w:t>untuk mengajukan gugatan, penggugat membayar uang muka biaya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perkara, yang besarnya di</w:t>
      </w:r>
      <w:r w:rsidR="00057CB0">
        <w:rPr>
          <w:rFonts w:ascii="Times New Roman" w:hAnsi="Times New Roman" w:cs="Times New Roman"/>
          <w:sz w:val="24"/>
          <w:szCs w:val="24"/>
        </w:rPr>
        <w:t xml:space="preserve">taksir oleh panitera </w:t>
      </w:r>
      <w:r w:rsidR="000A5F63">
        <w:rPr>
          <w:rFonts w:ascii="Times New Roman" w:hAnsi="Times New Roman" w:cs="Times New Roman"/>
          <w:sz w:val="24"/>
          <w:szCs w:val="24"/>
        </w:rPr>
        <w:t>pengadilan</w:t>
      </w:r>
      <w:r w:rsidRPr="003A11F6">
        <w:rPr>
          <w:rFonts w:ascii="Times New Roman" w:hAnsi="Times New Roman" w:cs="Times New Roman"/>
          <w:sz w:val="24"/>
          <w:szCs w:val="24"/>
        </w:rPr>
        <w:t>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="00A75AEF" w:rsidRPr="007C7F90">
        <w:rPr>
          <w:rFonts w:ascii="Times New Roman" w:hAnsi="Times New Roman" w:cs="Times New Roman"/>
          <w:sz w:val="24"/>
          <w:szCs w:val="24"/>
        </w:rPr>
        <w:t xml:space="preserve">Menurut Taufik Makarao, beliau mengemukakan bahwa : </w:t>
      </w:r>
    </w:p>
    <w:p w:rsidR="003A11F6" w:rsidRDefault="00554EB3" w:rsidP="00985840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t>Yan</w:t>
      </w:r>
      <w:r w:rsidR="00A75AEF">
        <w:rPr>
          <w:rFonts w:ascii="Times New Roman" w:hAnsi="Times New Roman" w:cs="Times New Roman"/>
          <w:sz w:val="24"/>
          <w:szCs w:val="24"/>
        </w:rPr>
        <w:t>g termasuk dalam biaya perkara yaitu</w:t>
      </w:r>
      <w:r w:rsidRPr="003A11F6">
        <w:rPr>
          <w:rFonts w:ascii="Times New Roman" w:hAnsi="Times New Roman" w:cs="Times New Roman"/>
          <w:sz w:val="24"/>
          <w:szCs w:val="24"/>
        </w:rPr>
        <w:t xml:space="preserve"> biaya kepaniteraan dan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biaya materai, biaya saksi, ahli dan ahli bahasa dengan catatan bahwa</w:t>
      </w:r>
      <w:r w:rsidR="00EE07EE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pihak yang meminta pemeriksaan lebih dari lima orang saksi harus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membayar biaya untuk saksi yang lebih itu meskipun pihak tersebut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dimenangkan, biaya pemeriksaan di tempat lain dari ruangan sidang dan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biaya lain yang diperlukan bagi pemutusan sengketa atas perintah hakim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ketua sidang (pasal 111 Undang-undang No 5 tahun 1986). Jumlah biaya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perkara yang harus dibayar oleh penggugat dan tergugat disebut dalam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amar putusan akhir pengadilan (pasal 112 Undang-undang No 5 tahun1986).</w:t>
      </w:r>
      <w:r w:rsidR="004E4C0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:rsidR="00BC41AF" w:rsidRDefault="00BC41AF" w:rsidP="00A75AE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11F6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t>Selain itu dalam Undang-undang No 7 tahun 1989 tentang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Peradilan Agama juga mengatur tentang biaya perkara sebagai berikut :</w:t>
      </w:r>
    </w:p>
    <w:p w:rsidR="00C16E6C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lastRenderedPageBreak/>
        <w:t>Biaya perkara dalam bidang perkawinan dibebankan kepada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penggugat atau pemohon. Biaya perkara penetapan atau putusan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pengadilan yang bukan merupakan penetapan atau putusan akhir akan</w:t>
      </w:r>
      <w:r w:rsidR="00EE0BAD">
        <w:rPr>
          <w:rFonts w:ascii="Times New Roman" w:hAnsi="Times New Roman" w:cs="Times New Roman"/>
          <w:sz w:val="24"/>
          <w:szCs w:val="24"/>
        </w:rPr>
        <w:t xml:space="preserve"> </w:t>
      </w:r>
      <w:r w:rsidRPr="003A11F6">
        <w:rPr>
          <w:rFonts w:ascii="Times New Roman" w:hAnsi="Times New Roman" w:cs="Times New Roman"/>
          <w:sz w:val="24"/>
          <w:szCs w:val="24"/>
        </w:rPr>
        <w:t>diperhitungkan dalam penetapan atau putusan akhir pasal 89 (1) dan pasal2</w:t>
      </w:r>
      <w:r w:rsidR="004E4C03" w:rsidRPr="003A11F6">
        <w:rPr>
          <w:rFonts w:ascii="Times New Roman" w:hAnsi="Times New Roman" w:cs="Times New Roman"/>
          <w:sz w:val="24"/>
          <w:szCs w:val="24"/>
        </w:rPr>
        <w:t xml:space="preserve"> Undang-undang No 7 tahun 1989.</w:t>
      </w:r>
    </w:p>
    <w:p w:rsidR="004E4C03" w:rsidRPr="00C16E6C" w:rsidRDefault="00554EB3" w:rsidP="00C16E6C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E6C">
        <w:rPr>
          <w:rFonts w:ascii="Times New Roman" w:hAnsi="Times New Roman" w:cs="Times New Roman"/>
          <w:sz w:val="24"/>
          <w:szCs w:val="24"/>
        </w:rPr>
        <w:t>Biaya perkara sebagaimana yang dimaksud dalam pasal 89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C16E6C">
        <w:rPr>
          <w:rFonts w:ascii="Times New Roman" w:hAnsi="Times New Roman" w:cs="Times New Roman"/>
          <w:sz w:val="24"/>
          <w:szCs w:val="24"/>
        </w:rPr>
        <w:t>meliputi :</w:t>
      </w:r>
    </w:p>
    <w:p w:rsidR="004E4C03" w:rsidRDefault="00554EB3" w:rsidP="00554E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4C03">
        <w:rPr>
          <w:rFonts w:ascii="Times New Roman" w:hAnsi="Times New Roman" w:cs="Times New Roman"/>
          <w:sz w:val="24"/>
          <w:szCs w:val="24"/>
        </w:rPr>
        <w:t>Biaya perkara dalam bidang perkawinan dibebankan kepada penggugat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4E4C03">
        <w:rPr>
          <w:rFonts w:ascii="Times New Roman" w:hAnsi="Times New Roman" w:cs="Times New Roman"/>
          <w:sz w:val="24"/>
          <w:szCs w:val="24"/>
        </w:rPr>
        <w:t>atau pemohon.</w:t>
      </w:r>
    </w:p>
    <w:p w:rsidR="00614A51" w:rsidRDefault="00554EB3" w:rsidP="00554E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4C03">
        <w:rPr>
          <w:rFonts w:ascii="Times New Roman" w:hAnsi="Times New Roman" w:cs="Times New Roman"/>
          <w:sz w:val="24"/>
          <w:szCs w:val="24"/>
        </w:rPr>
        <w:t>Biaya perkara penetapan atau putusan pengadilan yang bukan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4E4C03">
        <w:rPr>
          <w:rFonts w:ascii="Times New Roman" w:hAnsi="Times New Roman" w:cs="Times New Roman"/>
          <w:sz w:val="24"/>
          <w:szCs w:val="24"/>
        </w:rPr>
        <w:t>merupakan penetapan atau putusan akhir diperhitungkan dalam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="00614A51">
        <w:rPr>
          <w:rFonts w:ascii="Times New Roman" w:hAnsi="Times New Roman" w:cs="Times New Roman"/>
          <w:sz w:val="24"/>
          <w:szCs w:val="24"/>
        </w:rPr>
        <w:t>penetapan atau putusan akhir.</w:t>
      </w:r>
    </w:p>
    <w:p w:rsidR="00010E00" w:rsidRDefault="00554EB3" w:rsidP="00010E0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A51">
        <w:rPr>
          <w:rFonts w:ascii="Times New Roman" w:hAnsi="Times New Roman" w:cs="Times New Roman"/>
          <w:sz w:val="24"/>
          <w:szCs w:val="24"/>
        </w:rPr>
        <w:t>Dalam pasal 90 juga disebutkan dalam pasal 1 yakni biaya perkara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sebagaimana yang dim</w:t>
      </w:r>
      <w:r w:rsidR="00614A51">
        <w:rPr>
          <w:rFonts w:ascii="Times New Roman" w:hAnsi="Times New Roman" w:cs="Times New Roman"/>
          <w:sz w:val="24"/>
          <w:szCs w:val="24"/>
        </w:rPr>
        <w:t>aksud dalam pasal 89 meliputi :</w:t>
      </w:r>
    </w:p>
    <w:p w:rsidR="00010E00" w:rsidRDefault="00554EB3" w:rsidP="00010E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Biaya kepaniteraan dan biaya materai yang diperlukan untuk perkara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itu.</w:t>
      </w:r>
    </w:p>
    <w:p w:rsidR="00010E00" w:rsidRDefault="00554EB3" w:rsidP="00010E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Biaya untuk para saksi, saksi ahli, penerjemah dan biaya pengambilan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sumpah yang diperlukan dalam perkara itu.</w:t>
      </w:r>
    </w:p>
    <w:p w:rsidR="00010E00" w:rsidRDefault="00554EB3" w:rsidP="00010E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Biaya yang diperlukan untuk melakukan pemeriksaan setempat dan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tindakan-tindakan lain yang diperlukan oleh pengadilan dalam perkara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itu.</w:t>
      </w:r>
    </w:p>
    <w:p w:rsidR="006B2154" w:rsidRPr="00010E00" w:rsidRDefault="00554EB3" w:rsidP="00010E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Biaya pemanggilan pemberitahuan, dan lain atas perintah pengadilan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yang berkenaan dengan perkara itu. Sedangkan dalam pasal 2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="00985840">
        <w:rPr>
          <w:rFonts w:ascii="Times New Roman" w:hAnsi="Times New Roman" w:cs="Times New Roman"/>
          <w:sz w:val="24"/>
          <w:szCs w:val="24"/>
        </w:rPr>
        <w:t xml:space="preserve">berbunyi </w:t>
      </w:r>
      <w:r w:rsidRPr="00010E00">
        <w:rPr>
          <w:rFonts w:ascii="Times New Roman" w:hAnsi="Times New Roman" w:cs="Times New Roman"/>
          <w:sz w:val="24"/>
          <w:szCs w:val="24"/>
        </w:rPr>
        <w:t>besarnya perkara itu diatur oleh Menteri Agama dengan</w:t>
      </w:r>
      <w:r w:rsidR="00C32E10"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="00985840">
        <w:rPr>
          <w:rFonts w:ascii="Times New Roman" w:hAnsi="Times New Roman" w:cs="Times New Roman"/>
          <w:sz w:val="24"/>
          <w:szCs w:val="24"/>
        </w:rPr>
        <w:t>persetujuan Mahkamah Agung</w:t>
      </w:r>
      <w:r w:rsidRPr="00010E00">
        <w:rPr>
          <w:rFonts w:ascii="Times New Roman" w:hAnsi="Times New Roman" w:cs="Times New Roman"/>
          <w:sz w:val="24"/>
          <w:szCs w:val="24"/>
        </w:rPr>
        <w:t>.</w:t>
      </w:r>
      <w:r w:rsidR="00614A51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:rsidR="00C16E6C" w:rsidRDefault="00C16E6C" w:rsidP="00C16E6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4C9B" w:rsidRDefault="00554EB3" w:rsidP="006A45F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154">
        <w:rPr>
          <w:rFonts w:ascii="Times New Roman" w:hAnsi="Times New Roman" w:cs="Times New Roman"/>
          <w:sz w:val="24"/>
          <w:szCs w:val="24"/>
        </w:rPr>
        <w:t>Pembayaran panjar biaya perkara bagi calon penggugat atau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pemohon dilakukan dikasir dengan menyerahkan surat gugat atau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permohonan dan ditulis di SKUM (Surat Kuasa Untuk Membayar).</w:t>
      </w:r>
      <w:r w:rsidR="00ED6B7F">
        <w:rPr>
          <w:rFonts w:ascii="Times New Roman" w:hAnsi="Times New Roman" w:cs="Times New Roman"/>
          <w:sz w:val="24"/>
          <w:szCs w:val="24"/>
        </w:rPr>
        <w:t xml:space="preserve"> Dan A. Mukti Arto mengemukakan </w:t>
      </w:r>
      <w:r w:rsidR="0062372E">
        <w:rPr>
          <w:rFonts w:ascii="Times New Roman" w:hAnsi="Times New Roman" w:cs="Times New Roman"/>
          <w:sz w:val="24"/>
          <w:szCs w:val="24"/>
        </w:rPr>
        <w:t xml:space="preserve">dalam pasal 237-245 HIR/pasal 273-277 R.Bg </w:t>
      </w:r>
      <w:r w:rsidR="00ED6B7F">
        <w:rPr>
          <w:rFonts w:ascii="Times New Roman" w:hAnsi="Times New Roman" w:cs="Times New Roman"/>
          <w:sz w:val="24"/>
          <w:szCs w:val="24"/>
        </w:rPr>
        <w:t>bahwa</w:t>
      </w:r>
      <w:r w:rsidR="0062372E">
        <w:rPr>
          <w:rFonts w:ascii="Times New Roman" w:hAnsi="Times New Roman" w:cs="Times New Roman"/>
          <w:sz w:val="24"/>
          <w:szCs w:val="24"/>
        </w:rPr>
        <w:t xml:space="preserve"> </w:t>
      </w:r>
      <w:r w:rsidR="00ED6B7F" w:rsidRPr="00554EB3">
        <w:rPr>
          <w:rFonts w:ascii="Times New Roman" w:hAnsi="Times New Roman" w:cs="Times New Roman"/>
          <w:sz w:val="24"/>
          <w:szCs w:val="24"/>
        </w:rPr>
        <w:t xml:space="preserve">dalam </w:t>
      </w:r>
      <w:r w:rsidRPr="00554EB3">
        <w:rPr>
          <w:rFonts w:ascii="Times New Roman" w:hAnsi="Times New Roman" w:cs="Times New Roman"/>
          <w:sz w:val="24"/>
          <w:szCs w:val="24"/>
        </w:rPr>
        <w:t xml:space="preserve">kaitannya dengan biaya </w:t>
      </w:r>
      <w:r w:rsidRPr="00554EB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B2154">
        <w:rPr>
          <w:rFonts w:ascii="Times New Roman" w:hAnsi="Times New Roman" w:cs="Times New Roman"/>
          <w:sz w:val="24"/>
          <w:szCs w:val="24"/>
        </w:rPr>
        <w:t xml:space="preserve">erkara di Pengadilan bagi orang </w:t>
      </w:r>
      <w:r w:rsidRPr="00554EB3">
        <w:rPr>
          <w:rFonts w:ascii="Times New Roman" w:hAnsi="Times New Roman" w:cs="Times New Roman"/>
          <w:sz w:val="24"/>
          <w:szCs w:val="24"/>
        </w:rPr>
        <w:t>yang tidak mampu diberikan pelayana</w:t>
      </w:r>
      <w:r w:rsidR="006B2154">
        <w:rPr>
          <w:rFonts w:ascii="Times New Roman" w:hAnsi="Times New Roman" w:cs="Times New Roman"/>
          <w:sz w:val="24"/>
          <w:szCs w:val="24"/>
        </w:rPr>
        <w:t xml:space="preserve">n untuk memperoleh perlindungan </w:t>
      </w:r>
      <w:r w:rsidRPr="00554EB3">
        <w:rPr>
          <w:rFonts w:ascii="Times New Roman" w:hAnsi="Times New Roman" w:cs="Times New Roman"/>
          <w:sz w:val="24"/>
          <w:szCs w:val="24"/>
        </w:rPr>
        <w:t>hukum dan keadilan secara cum</w:t>
      </w:r>
      <w:r w:rsidR="0062372E">
        <w:rPr>
          <w:rFonts w:ascii="Times New Roman" w:hAnsi="Times New Roman" w:cs="Times New Roman"/>
          <w:sz w:val="24"/>
          <w:szCs w:val="24"/>
        </w:rPr>
        <w:t>a-cuma (prodeo)</w:t>
      </w:r>
      <w:r w:rsidRPr="00554EB3">
        <w:rPr>
          <w:rFonts w:ascii="Times New Roman" w:hAnsi="Times New Roman" w:cs="Times New Roman"/>
          <w:sz w:val="24"/>
          <w:szCs w:val="24"/>
        </w:rPr>
        <w:t>.</w:t>
      </w:r>
      <w:r w:rsidR="006B2154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:rsidR="009117FD" w:rsidRDefault="00D16CE3" w:rsidP="006A45F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6B2154">
        <w:rPr>
          <w:rFonts w:ascii="Times New Roman" w:hAnsi="Times New Roman" w:cs="Times New Roman"/>
          <w:sz w:val="24"/>
          <w:szCs w:val="24"/>
        </w:rPr>
        <w:t xml:space="preserve"> dalam Peradilan Agama </w:t>
      </w:r>
      <w:r w:rsidR="00554EB3" w:rsidRPr="00554EB3">
        <w:rPr>
          <w:rFonts w:ascii="Times New Roman" w:hAnsi="Times New Roman" w:cs="Times New Roman"/>
          <w:sz w:val="24"/>
          <w:szCs w:val="24"/>
        </w:rPr>
        <w:t>harus memenuhi harapan dari pa</w:t>
      </w:r>
      <w:r w:rsidR="006B2154">
        <w:rPr>
          <w:rFonts w:ascii="Times New Roman" w:hAnsi="Times New Roman" w:cs="Times New Roman"/>
          <w:sz w:val="24"/>
          <w:szCs w:val="24"/>
        </w:rPr>
        <w:t xml:space="preserve">ra pencari keadilan yang selalu </w:t>
      </w:r>
      <w:r w:rsidR="00554EB3" w:rsidRPr="00554EB3">
        <w:rPr>
          <w:rFonts w:ascii="Times New Roman" w:hAnsi="Times New Roman" w:cs="Times New Roman"/>
          <w:sz w:val="24"/>
          <w:szCs w:val="24"/>
        </w:rPr>
        <w:t xml:space="preserve">menghendaki peradilan yang cepat, tepat adil dan biaya ringan. </w:t>
      </w:r>
      <w:r w:rsidR="006B2154">
        <w:rPr>
          <w:rFonts w:ascii="Times New Roman" w:hAnsi="Times New Roman" w:cs="Times New Roman"/>
          <w:sz w:val="24"/>
          <w:szCs w:val="24"/>
        </w:rPr>
        <w:t xml:space="preserve">Tidak </w:t>
      </w:r>
      <w:r w:rsidR="00554EB3" w:rsidRPr="00554EB3">
        <w:rPr>
          <w:rFonts w:ascii="Times New Roman" w:hAnsi="Times New Roman" w:cs="Times New Roman"/>
          <w:sz w:val="24"/>
          <w:szCs w:val="24"/>
        </w:rPr>
        <w:t>diperlukan pemeriksaan dan acara</w:t>
      </w:r>
      <w:r w:rsidR="006B2154">
        <w:rPr>
          <w:rFonts w:ascii="Times New Roman" w:hAnsi="Times New Roman" w:cs="Times New Roman"/>
          <w:sz w:val="24"/>
          <w:szCs w:val="24"/>
        </w:rPr>
        <w:t xml:space="preserve"> yang berbelit-belit yang dapat </w:t>
      </w:r>
      <w:r w:rsidR="00554EB3" w:rsidRPr="00554EB3">
        <w:rPr>
          <w:rFonts w:ascii="Times New Roman" w:hAnsi="Times New Roman" w:cs="Times New Roman"/>
          <w:sz w:val="24"/>
          <w:szCs w:val="24"/>
        </w:rPr>
        <w:t>menyebabkan proses sampai bertahun-ta</w:t>
      </w:r>
      <w:r w:rsidR="006B2154">
        <w:rPr>
          <w:rFonts w:ascii="Times New Roman" w:hAnsi="Times New Roman" w:cs="Times New Roman"/>
          <w:sz w:val="24"/>
          <w:szCs w:val="24"/>
        </w:rPr>
        <w:t xml:space="preserve">hun, bahkan kadang-kadang harus </w:t>
      </w:r>
      <w:r w:rsidR="00554EB3" w:rsidRPr="00554EB3">
        <w:rPr>
          <w:rFonts w:ascii="Times New Roman" w:hAnsi="Times New Roman" w:cs="Times New Roman"/>
          <w:sz w:val="24"/>
          <w:szCs w:val="24"/>
        </w:rPr>
        <w:t>dilanjutkan oleh para ahli waris pencari</w:t>
      </w:r>
      <w:r w:rsidR="006B2154">
        <w:rPr>
          <w:rFonts w:ascii="Times New Roman" w:hAnsi="Times New Roman" w:cs="Times New Roman"/>
          <w:sz w:val="24"/>
          <w:szCs w:val="24"/>
        </w:rPr>
        <w:t xml:space="preserve"> keadilan. Biaya ringan artinya </w:t>
      </w:r>
      <w:r w:rsidR="00554EB3" w:rsidRPr="00554EB3">
        <w:rPr>
          <w:rFonts w:ascii="Times New Roman" w:hAnsi="Times New Roman" w:cs="Times New Roman"/>
          <w:sz w:val="24"/>
          <w:szCs w:val="24"/>
        </w:rPr>
        <w:t>biaya yang serendah mungkin sehingga</w:t>
      </w:r>
      <w:r w:rsidR="006B2154">
        <w:rPr>
          <w:rFonts w:ascii="Times New Roman" w:hAnsi="Times New Roman" w:cs="Times New Roman"/>
          <w:sz w:val="24"/>
          <w:szCs w:val="24"/>
        </w:rPr>
        <w:t xml:space="preserve"> dapat terpikul oleh rakyat ini </w:t>
      </w:r>
      <w:r w:rsidR="00554EB3" w:rsidRPr="00554EB3">
        <w:rPr>
          <w:rFonts w:ascii="Times New Roman" w:hAnsi="Times New Roman" w:cs="Times New Roman"/>
          <w:sz w:val="24"/>
          <w:szCs w:val="24"/>
        </w:rPr>
        <w:t>semua tanpa mengorbankan ketelit</w:t>
      </w:r>
      <w:r w:rsidR="006B2154">
        <w:rPr>
          <w:rFonts w:ascii="Times New Roman" w:hAnsi="Times New Roman" w:cs="Times New Roman"/>
          <w:sz w:val="24"/>
          <w:szCs w:val="24"/>
        </w:rPr>
        <w:t xml:space="preserve">ian untuk mencari kebenaran dan </w:t>
      </w:r>
      <w:r w:rsidR="00554EB3" w:rsidRPr="00554EB3">
        <w:rPr>
          <w:rFonts w:ascii="Times New Roman" w:hAnsi="Times New Roman" w:cs="Times New Roman"/>
          <w:sz w:val="24"/>
          <w:szCs w:val="24"/>
        </w:rPr>
        <w:t>keadilan.</w:t>
      </w:r>
    </w:p>
    <w:p w:rsidR="00694C9B" w:rsidRDefault="00554EB3" w:rsidP="006A45F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Ketentuan bahwa peradilan dilakuk</w:t>
      </w:r>
      <w:r w:rsidR="006B2154">
        <w:rPr>
          <w:rFonts w:ascii="Times New Roman" w:hAnsi="Times New Roman" w:cs="Times New Roman"/>
          <w:sz w:val="24"/>
          <w:szCs w:val="24"/>
        </w:rPr>
        <w:t xml:space="preserve">an dengan </w:t>
      </w:r>
      <w:r w:rsidR="00F80F8F"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Pr="00554EB3">
        <w:rPr>
          <w:rFonts w:ascii="Times New Roman" w:hAnsi="Times New Roman" w:cs="Times New Roman"/>
          <w:sz w:val="24"/>
          <w:szCs w:val="24"/>
        </w:rPr>
        <w:t xml:space="preserve"> tetap harus dipegang teguh den</w:t>
      </w:r>
      <w:r w:rsidR="006B2154">
        <w:rPr>
          <w:rFonts w:ascii="Times New Roman" w:hAnsi="Times New Roman" w:cs="Times New Roman"/>
          <w:sz w:val="24"/>
          <w:szCs w:val="24"/>
        </w:rPr>
        <w:t xml:space="preserve">gan cerminan </w:t>
      </w:r>
      <w:r w:rsidR="00A435F1">
        <w:rPr>
          <w:rFonts w:ascii="Times New Roman" w:hAnsi="Times New Roman" w:cs="Times New Roman"/>
          <w:sz w:val="24"/>
          <w:szCs w:val="24"/>
        </w:rPr>
        <w:t>Undang</w:t>
      </w:r>
      <w:r w:rsidR="006B2154">
        <w:rPr>
          <w:rFonts w:ascii="Times New Roman" w:hAnsi="Times New Roman" w:cs="Times New Roman"/>
          <w:sz w:val="24"/>
          <w:szCs w:val="24"/>
        </w:rPr>
        <w:t xml:space="preserve">-undang </w:t>
      </w:r>
      <w:r w:rsidRPr="00554EB3">
        <w:rPr>
          <w:rFonts w:ascii="Times New Roman" w:hAnsi="Times New Roman" w:cs="Times New Roman"/>
          <w:sz w:val="24"/>
          <w:szCs w:val="24"/>
        </w:rPr>
        <w:t>tentang hukum acara perdat</w:t>
      </w:r>
      <w:r w:rsidR="006B2154">
        <w:rPr>
          <w:rFonts w:ascii="Times New Roman" w:hAnsi="Times New Roman" w:cs="Times New Roman"/>
          <w:sz w:val="24"/>
          <w:szCs w:val="24"/>
        </w:rPr>
        <w:t xml:space="preserve">a yang memuat peraturan tentang </w:t>
      </w:r>
      <w:r w:rsidRPr="00554EB3">
        <w:rPr>
          <w:rFonts w:ascii="Times New Roman" w:hAnsi="Times New Roman" w:cs="Times New Roman"/>
          <w:sz w:val="24"/>
          <w:szCs w:val="24"/>
        </w:rPr>
        <w:t>pemeriksaan dan pembuktian yang jauh lebih sederhana.</w:t>
      </w:r>
      <w:r w:rsidR="009F3E1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Akan tetapi makna dan tujuan asas </w:t>
      </w:r>
      <w:r w:rsidR="006B2154">
        <w:rPr>
          <w:rFonts w:ascii="Times New Roman" w:hAnsi="Times New Roman" w:cs="Times New Roman"/>
          <w:sz w:val="24"/>
          <w:szCs w:val="24"/>
        </w:rPr>
        <w:t xml:space="preserve">peradilan </w:t>
      </w:r>
      <w:r w:rsidR="00A435F1"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D630C8">
        <w:rPr>
          <w:rFonts w:ascii="Times New Roman" w:hAnsi="Times New Roman" w:cs="Times New Roman"/>
          <w:sz w:val="24"/>
          <w:szCs w:val="24"/>
        </w:rPr>
        <w:t xml:space="preserve"> bukan hanya menitik</w:t>
      </w:r>
      <w:r w:rsidRPr="00554EB3">
        <w:rPr>
          <w:rFonts w:ascii="Times New Roman" w:hAnsi="Times New Roman" w:cs="Times New Roman"/>
          <w:sz w:val="24"/>
          <w:szCs w:val="24"/>
        </w:rPr>
        <w:t>beratkan unsu</w:t>
      </w:r>
      <w:r w:rsidR="006B2154">
        <w:rPr>
          <w:rFonts w:ascii="Times New Roman" w:hAnsi="Times New Roman" w:cs="Times New Roman"/>
          <w:sz w:val="24"/>
          <w:szCs w:val="24"/>
        </w:rPr>
        <w:t xml:space="preserve">r kecepatan dan biaya </w:t>
      </w:r>
      <w:r w:rsidRPr="00554EB3">
        <w:rPr>
          <w:rFonts w:ascii="Times New Roman" w:hAnsi="Times New Roman" w:cs="Times New Roman"/>
          <w:sz w:val="24"/>
          <w:szCs w:val="24"/>
        </w:rPr>
        <w:t>ringan bukan berarti dalam pemeriksaa</w:t>
      </w:r>
      <w:r w:rsidR="006B2154">
        <w:rPr>
          <w:rFonts w:ascii="Times New Roman" w:hAnsi="Times New Roman" w:cs="Times New Roman"/>
          <w:sz w:val="24"/>
          <w:szCs w:val="24"/>
        </w:rPr>
        <w:t xml:space="preserve">n perkara dilakukan seperti ban </w:t>
      </w:r>
      <w:r w:rsidR="00151AB5">
        <w:rPr>
          <w:rFonts w:ascii="Times New Roman" w:hAnsi="Times New Roman" w:cs="Times New Roman"/>
          <w:sz w:val="24"/>
          <w:szCs w:val="24"/>
        </w:rPr>
        <w:t>beredar</w:t>
      </w:r>
      <w:r w:rsidRPr="00554EB3">
        <w:rPr>
          <w:rFonts w:ascii="Times New Roman" w:hAnsi="Times New Roman" w:cs="Times New Roman"/>
          <w:sz w:val="24"/>
          <w:szCs w:val="24"/>
        </w:rPr>
        <w:t>, tak ubahnya sep</w:t>
      </w:r>
      <w:r w:rsidR="006B2154">
        <w:rPr>
          <w:rFonts w:ascii="Times New Roman" w:hAnsi="Times New Roman" w:cs="Times New Roman"/>
          <w:sz w:val="24"/>
          <w:szCs w:val="24"/>
        </w:rPr>
        <w:t>erti mesin pembuat skrup. Tid</w:t>
      </w:r>
      <w:r w:rsidR="00694C9B">
        <w:rPr>
          <w:rFonts w:ascii="Times New Roman" w:hAnsi="Times New Roman" w:cs="Times New Roman"/>
          <w:sz w:val="24"/>
          <w:szCs w:val="24"/>
        </w:rPr>
        <w:t>ak demikian makna dan tujuannya.</w:t>
      </w:r>
    </w:p>
    <w:p w:rsidR="00071539" w:rsidRDefault="00554EB3" w:rsidP="00071539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 xml:space="preserve">Dalam penerapan asas peradilan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mempunyai nilai keadilan yang hakiki, </w:t>
      </w:r>
      <w:r w:rsidR="006B2154">
        <w:rPr>
          <w:rFonts w:ascii="Times New Roman" w:hAnsi="Times New Roman" w:cs="Times New Roman"/>
          <w:sz w:val="24"/>
          <w:szCs w:val="24"/>
        </w:rPr>
        <w:t xml:space="preserve">tidak terlepas kaitannya dengan </w:t>
      </w:r>
      <w:r w:rsidRPr="00554EB3">
        <w:rPr>
          <w:rFonts w:ascii="Times New Roman" w:hAnsi="Times New Roman" w:cs="Times New Roman"/>
          <w:sz w:val="24"/>
          <w:szCs w:val="24"/>
        </w:rPr>
        <w:t>fungsi pelayanan, hakim harus benar-</w:t>
      </w:r>
      <w:r w:rsidR="006B2154">
        <w:rPr>
          <w:rFonts w:ascii="Times New Roman" w:hAnsi="Times New Roman" w:cs="Times New Roman"/>
          <w:sz w:val="24"/>
          <w:szCs w:val="24"/>
        </w:rPr>
        <w:t xml:space="preserve">benar menyadari dirinya sebagai </w:t>
      </w:r>
      <w:r w:rsidRPr="00554EB3">
        <w:rPr>
          <w:rFonts w:ascii="Times New Roman" w:hAnsi="Times New Roman" w:cs="Times New Roman"/>
          <w:sz w:val="24"/>
          <w:szCs w:val="24"/>
        </w:rPr>
        <w:t>pejabat yang mengabdi bagi kepentinga</w:t>
      </w:r>
      <w:r w:rsidR="006B2154">
        <w:rPr>
          <w:rFonts w:ascii="Times New Roman" w:hAnsi="Times New Roman" w:cs="Times New Roman"/>
          <w:sz w:val="24"/>
          <w:szCs w:val="24"/>
        </w:rPr>
        <w:t xml:space="preserve">n penegakan hukum. Apalagi bagi </w:t>
      </w:r>
      <w:r w:rsidRPr="00554EB3">
        <w:rPr>
          <w:rFonts w:ascii="Times New Roman" w:hAnsi="Times New Roman" w:cs="Times New Roman"/>
          <w:sz w:val="24"/>
          <w:szCs w:val="24"/>
        </w:rPr>
        <w:t xml:space="preserve">para hakim yang </w:t>
      </w:r>
      <w:r w:rsidRPr="00554EB3">
        <w:rPr>
          <w:rFonts w:ascii="Times New Roman" w:hAnsi="Times New Roman" w:cs="Times New Roman"/>
          <w:sz w:val="24"/>
          <w:szCs w:val="24"/>
        </w:rPr>
        <w:lastRenderedPageBreak/>
        <w:t>mengabdi di lingkung</w:t>
      </w:r>
      <w:r w:rsidR="006B2154">
        <w:rPr>
          <w:rFonts w:ascii="Times New Roman" w:hAnsi="Times New Roman" w:cs="Times New Roman"/>
          <w:sz w:val="24"/>
          <w:szCs w:val="24"/>
        </w:rPr>
        <w:t xml:space="preserve">an Pengadilan Agama, seyogyanya </w:t>
      </w:r>
      <w:r w:rsidRPr="00554EB3">
        <w:rPr>
          <w:rFonts w:ascii="Times New Roman" w:hAnsi="Times New Roman" w:cs="Times New Roman"/>
          <w:sz w:val="24"/>
          <w:szCs w:val="24"/>
        </w:rPr>
        <w:t>harus lebih mulia dan lebih menyejajari</w:t>
      </w:r>
      <w:r w:rsidR="006B2154">
        <w:rPr>
          <w:rFonts w:ascii="Times New Roman" w:hAnsi="Times New Roman" w:cs="Times New Roman"/>
          <w:sz w:val="24"/>
          <w:szCs w:val="24"/>
        </w:rPr>
        <w:t xml:space="preserve"> predikat keagamaan yang mereka </w:t>
      </w:r>
      <w:r w:rsidRPr="00554EB3">
        <w:rPr>
          <w:rFonts w:ascii="Times New Roman" w:hAnsi="Times New Roman" w:cs="Times New Roman"/>
          <w:sz w:val="24"/>
          <w:szCs w:val="24"/>
        </w:rPr>
        <w:t>sandang.</w:t>
      </w:r>
    </w:p>
    <w:p w:rsidR="00071539" w:rsidRDefault="00071539" w:rsidP="000715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949" w:rsidRPr="007A3A0F" w:rsidRDefault="00554EB3" w:rsidP="00C93E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949">
        <w:rPr>
          <w:rFonts w:ascii="Times New Roman" w:hAnsi="Times New Roman" w:cs="Times New Roman"/>
          <w:b/>
          <w:bCs/>
          <w:sz w:val="24"/>
          <w:szCs w:val="24"/>
        </w:rPr>
        <w:t xml:space="preserve">Dasar Hukum </w:t>
      </w:r>
      <w:r w:rsidR="00D16CE3">
        <w:rPr>
          <w:rFonts w:ascii="Times New Roman" w:hAnsi="Times New Roman" w:cs="Times New Roman"/>
          <w:b/>
          <w:bCs/>
          <w:sz w:val="24"/>
          <w:szCs w:val="24"/>
        </w:rPr>
        <w:t>Asas</w:t>
      </w:r>
      <w:r w:rsidR="004B0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D3">
        <w:rPr>
          <w:rFonts w:ascii="Times New Roman" w:hAnsi="Times New Roman" w:cs="Times New Roman"/>
          <w:b/>
          <w:bCs/>
          <w:sz w:val="24"/>
          <w:szCs w:val="24"/>
        </w:rPr>
        <w:t xml:space="preserve">Peradilan </w:t>
      </w:r>
      <w:r w:rsidR="0028118C">
        <w:rPr>
          <w:rFonts w:ascii="Times New Roman" w:hAnsi="Times New Roman" w:cs="Times New Roman"/>
          <w:b/>
          <w:bCs/>
          <w:sz w:val="24"/>
          <w:szCs w:val="24"/>
        </w:rPr>
        <w:t xml:space="preserve">Sederhana, </w:t>
      </w:r>
      <w:r w:rsidR="00CA0131">
        <w:rPr>
          <w:rFonts w:ascii="Times New Roman" w:hAnsi="Times New Roman" w:cs="Times New Roman"/>
          <w:b/>
          <w:bCs/>
          <w:sz w:val="24"/>
          <w:szCs w:val="24"/>
        </w:rPr>
        <w:t xml:space="preserve">Cepat </w:t>
      </w:r>
      <w:r w:rsidR="0028118C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="00CA0131">
        <w:rPr>
          <w:rFonts w:ascii="Times New Roman" w:hAnsi="Times New Roman" w:cs="Times New Roman"/>
          <w:b/>
          <w:bCs/>
          <w:sz w:val="24"/>
          <w:szCs w:val="24"/>
        </w:rPr>
        <w:t>Biaya Ringan</w:t>
      </w:r>
      <w:r w:rsidR="00C93E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3A0F" w:rsidRPr="000D0949" w:rsidRDefault="007A3A0F" w:rsidP="006A45F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3E4C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D0949">
        <w:rPr>
          <w:rFonts w:ascii="Times New Roman" w:hAnsi="Times New Roman" w:cs="Times New Roman"/>
          <w:sz w:val="24"/>
          <w:szCs w:val="24"/>
        </w:rPr>
        <w:t xml:space="preserve">Dasar </w:t>
      </w:r>
      <w:r w:rsidR="00D16CE3">
        <w:rPr>
          <w:rFonts w:ascii="Times New Roman" w:hAnsi="Times New Roman" w:cs="Times New Roman"/>
          <w:sz w:val="24"/>
          <w:szCs w:val="24"/>
        </w:rPr>
        <w:t xml:space="preserve">Asas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Pr="000D0949">
        <w:rPr>
          <w:rFonts w:ascii="Times New Roman" w:hAnsi="Times New Roman" w:cs="Times New Roman"/>
          <w:sz w:val="24"/>
          <w:szCs w:val="24"/>
        </w:rPr>
        <w:t xml:space="preserve"> ini termuat dalam</w:t>
      </w:r>
      <w:r w:rsidR="009F3E17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>Undang-undang No 4 tahun 2004 tentang Kekuasaan Kehakiman pasal 4</w:t>
      </w:r>
      <w:r w:rsidR="00CF2557">
        <w:rPr>
          <w:rFonts w:ascii="Times New Roman" w:hAnsi="Times New Roman" w:cs="Times New Roman"/>
          <w:sz w:val="24"/>
          <w:szCs w:val="24"/>
        </w:rPr>
        <w:t xml:space="preserve">ayat 2 yang berbunyi </w:t>
      </w:r>
      <w:r w:rsidRPr="00554EB3">
        <w:rPr>
          <w:rFonts w:ascii="Times New Roman" w:hAnsi="Times New Roman" w:cs="Times New Roman"/>
          <w:sz w:val="24"/>
          <w:szCs w:val="24"/>
        </w:rPr>
        <w:t>Peradilan dilakukan dengan sederhana, murah dan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="00CF2557">
        <w:rPr>
          <w:rFonts w:ascii="Times New Roman" w:hAnsi="Times New Roman" w:cs="Times New Roman"/>
          <w:sz w:val="24"/>
          <w:szCs w:val="24"/>
        </w:rPr>
        <w:t>cepat</w:t>
      </w:r>
      <w:r w:rsidRPr="00554EB3">
        <w:rPr>
          <w:rFonts w:ascii="Times New Roman" w:hAnsi="Times New Roman" w:cs="Times New Roman"/>
          <w:sz w:val="24"/>
          <w:szCs w:val="24"/>
        </w:rPr>
        <w:t xml:space="preserve"> dan </w:t>
      </w:r>
      <w:r w:rsidR="00CF2557">
        <w:rPr>
          <w:rFonts w:ascii="Times New Roman" w:hAnsi="Times New Roman" w:cs="Times New Roman"/>
          <w:sz w:val="24"/>
          <w:szCs w:val="24"/>
        </w:rPr>
        <w:t xml:space="preserve">pasal 5 ayat 2 berbunyi </w:t>
      </w:r>
      <w:r w:rsidRPr="00554EB3">
        <w:rPr>
          <w:rFonts w:ascii="Times New Roman" w:hAnsi="Times New Roman" w:cs="Times New Roman"/>
          <w:sz w:val="24"/>
          <w:szCs w:val="24"/>
        </w:rPr>
        <w:t>Pengadilan membantu pencari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keadilan dan berusaha mengatasi segala hambatan dan rintangan untuk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dapat tercapainya peradilan yang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0D0949">
        <w:rPr>
          <w:rFonts w:ascii="Times New Roman" w:hAnsi="Times New Roman" w:cs="Times New Roman"/>
          <w:sz w:val="24"/>
          <w:szCs w:val="24"/>
        </w:rPr>
        <w:t>.</w:t>
      </w:r>
      <w:r w:rsidR="000D0949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:rsidR="000C7ED9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3E4C">
        <w:rPr>
          <w:rFonts w:ascii="Times New Roman" w:hAnsi="Times New Roman" w:cs="Times New Roman"/>
          <w:sz w:val="24"/>
          <w:szCs w:val="24"/>
        </w:rPr>
        <w:t xml:space="preserve">Peradilan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Pr="00C93E4C">
        <w:rPr>
          <w:rFonts w:ascii="Times New Roman" w:hAnsi="Times New Roman" w:cs="Times New Roman"/>
          <w:sz w:val="24"/>
          <w:szCs w:val="24"/>
        </w:rPr>
        <w:t xml:space="preserve"> juga terdapat dalam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C93E4C">
        <w:rPr>
          <w:rFonts w:ascii="Times New Roman" w:hAnsi="Times New Roman" w:cs="Times New Roman"/>
          <w:sz w:val="24"/>
          <w:szCs w:val="24"/>
        </w:rPr>
        <w:t>Undang-undang No 7 tahun 1989. Peradilan secara sederhana cepat dan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C93E4C">
        <w:rPr>
          <w:rFonts w:ascii="Times New Roman" w:hAnsi="Times New Roman" w:cs="Times New Roman"/>
          <w:sz w:val="24"/>
          <w:szCs w:val="24"/>
        </w:rPr>
        <w:t>biaya ringan tertuang dalam pasal 57 ayat 3, serta dalam pasal 58 ayat 2</w:t>
      </w:r>
      <w:r w:rsidR="004C7DF5">
        <w:rPr>
          <w:rFonts w:ascii="Times New Roman" w:hAnsi="Times New Roman" w:cs="Times New Roman"/>
          <w:sz w:val="24"/>
          <w:szCs w:val="24"/>
        </w:rPr>
        <w:t xml:space="preserve"> </w:t>
      </w:r>
      <w:r w:rsidRPr="00C93E4C">
        <w:rPr>
          <w:rFonts w:ascii="Times New Roman" w:hAnsi="Times New Roman" w:cs="Times New Roman"/>
          <w:sz w:val="24"/>
          <w:szCs w:val="24"/>
        </w:rPr>
        <w:t>yang berbunyi pengadilan membantu mengatasi segala hambatan serta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C93E4C">
        <w:rPr>
          <w:rFonts w:ascii="Times New Roman" w:hAnsi="Times New Roman" w:cs="Times New Roman"/>
          <w:sz w:val="24"/>
          <w:szCs w:val="24"/>
        </w:rPr>
        <w:t xml:space="preserve">rintangan untuk tercapainya peradilan yang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0D0949" w:rsidRPr="00C93E4C">
        <w:rPr>
          <w:rFonts w:ascii="Times New Roman" w:hAnsi="Times New Roman" w:cs="Times New Roman"/>
          <w:sz w:val="24"/>
          <w:szCs w:val="24"/>
        </w:rPr>
        <w:t>.</w:t>
      </w:r>
      <w:r w:rsidR="000D0949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:rsidR="00A84484" w:rsidRDefault="00A84484" w:rsidP="00350620">
      <w:pPr>
        <w:pStyle w:val="ListParagraph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67D6B" w:rsidRDefault="00E67D6B" w:rsidP="00350620">
      <w:pPr>
        <w:pStyle w:val="ListParagraph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67D6B" w:rsidRDefault="00E67D6B" w:rsidP="00350620">
      <w:pPr>
        <w:pStyle w:val="ListParagraph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67D6B" w:rsidRDefault="00E67D6B" w:rsidP="00350620">
      <w:pPr>
        <w:pStyle w:val="ListParagraph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67D6B" w:rsidRPr="005024AF" w:rsidRDefault="00E67D6B" w:rsidP="00350620">
      <w:pPr>
        <w:pStyle w:val="ListParagraph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C93E4C" w:rsidRPr="00980CF3" w:rsidRDefault="00D16CE3" w:rsidP="00CF2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Asas</w:t>
      </w:r>
      <w:r w:rsidR="00C32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D3">
        <w:rPr>
          <w:rFonts w:ascii="Times New Roman" w:hAnsi="Times New Roman" w:cs="Times New Roman"/>
          <w:b/>
          <w:bCs/>
          <w:sz w:val="24"/>
          <w:szCs w:val="24"/>
        </w:rPr>
        <w:t xml:space="preserve">Peradilan </w:t>
      </w:r>
      <w:r w:rsidR="0028118C">
        <w:rPr>
          <w:rFonts w:ascii="Times New Roman" w:hAnsi="Times New Roman" w:cs="Times New Roman"/>
          <w:b/>
          <w:bCs/>
          <w:sz w:val="24"/>
          <w:szCs w:val="24"/>
        </w:rPr>
        <w:t>Sederhana, cepat dan biaya ringan</w:t>
      </w:r>
      <w:r w:rsidR="00C32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EB3" w:rsidRPr="000D0949">
        <w:rPr>
          <w:rFonts w:ascii="Times New Roman" w:hAnsi="Times New Roman" w:cs="Times New Roman"/>
          <w:b/>
          <w:bCs/>
          <w:sz w:val="24"/>
          <w:szCs w:val="24"/>
        </w:rPr>
        <w:t>dalam Hukum Acara Perdata</w:t>
      </w:r>
      <w:r w:rsidR="00C32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EB3" w:rsidRPr="000D0949">
        <w:rPr>
          <w:rFonts w:ascii="Times New Roman" w:hAnsi="Times New Roman" w:cs="Times New Roman"/>
          <w:b/>
          <w:bCs/>
          <w:sz w:val="24"/>
          <w:szCs w:val="24"/>
        </w:rPr>
        <w:t>Pengadilan Agama</w:t>
      </w:r>
      <w:r w:rsidR="00C93E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0CF3" w:rsidRPr="00980CF3" w:rsidRDefault="00980CF3" w:rsidP="00980CF3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3FD1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949">
        <w:rPr>
          <w:rFonts w:ascii="Times New Roman" w:hAnsi="Times New Roman" w:cs="Times New Roman"/>
          <w:sz w:val="24"/>
          <w:szCs w:val="24"/>
        </w:rPr>
        <w:t>Hukum acara adalah kumpulan ketentuan-ketentuan dengan tujuan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>memberikan pedoman dalam usaha mencari kebenaran dan keadilan bila</w:t>
      </w:r>
      <w:r w:rsidR="00C32E10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>terjadi pemerkosaan atas suatu ketentuan hukum dalam hukum materiil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yang berarti memberikan kepada hukum acara suatu hubungan yang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mengabdi kepada hukum materiil.</w:t>
      </w:r>
    </w:p>
    <w:p w:rsidR="00DA3FD1" w:rsidRDefault="000C7ED9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Soeroso</w:t>
      </w:r>
      <w:r w:rsidR="00554EB3" w:rsidRPr="00DA3FD1">
        <w:rPr>
          <w:rFonts w:ascii="Times New Roman" w:hAnsi="Times New Roman" w:cs="Times New Roman"/>
          <w:sz w:val="24"/>
          <w:szCs w:val="24"/>
        </w:rPr>
        <w:t xml:space="preserve"> hukum acara perdata dalam Pengadilan Agama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A3FD1">
        <w:rPr>
          <w:rFonts w:ascii="Times New Roman" w:hAnsi="Times New Roman" w:cs="Times New Roman"/>
          <w:sz w:val="24"/>
          <w:szCs w:val="24"/>
        </w:rPr>
        <w:t>meliputi ketentuan-ketentuan tentang cara bagaimana orang harus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A3FD1">
        <w:rPr>
          <w:rFonts w:ascii="Times New Roman" w:hAnsi="Times New Roman" w:cs="Times New Roman"/>
          <w:sz w:val="24"/>
          <w:szCs w:val="24"/>
        </w:rPr>
        <w:t>menyelesaikan masalah dan mendapatkan keadilan dari hakim apabila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A3FD1">
        <w:rPr>
          <w:rFonts w:ascii="Times New Roman" w:hAnsi="Times New Roman" w:cs="Times New Roman"/>
          <w:sz w:val="24"/>
          <w:szCs w:val="24"/>
        </w:rPr>
        <w:t>kepentingan atau haknya dilanggar oleh orang lain dan sebaliknya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A3FD1">
        <w:rPr>
          <w:rFonts w:ascii="Times New Roman" w:hAnsi="Times New Roman" w:cs="Times New Roman"/>
          <w:sz w:val="24"/>
          <w:szCs w:val="24"/>
        </w:rPr>
        <w:t>bagaimana cara mempertahankan kebenarannya apabila ia dituntut oleh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A3FD1">
        <w:rPr>
          <w:rFonts w:ascii="Times New Roman" w:hAnsi="Times New Roman" w:cs="Times New Roman"/>
          <w:sz w:val="24"/>
          <w:szCs w:val="24"/>
        </w:rPr>
        <w:t xml:space="preserve">orang lain secara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="00554EB3" w:rsidRPr="00DA3FD1">
        <w:rPr>
          <w:rFonts w:ascii="Times New Roman" w:hAnsi="Times New Roman" w:cs="Times New Roman"/>
          <w:sz w:val="24"/>
          <w:szCs w:val="24"/>
        </w:rPr>
        <w:t xml:space="preserve"> di Pengadilan</w:t>
      </w:r>
      <w:r w:rsidR="000D0949" w:rsidRPr="00DA3FD1">
        <w:rPr>
          <w:rFonts w:ascii="Times New Roman" w:hAnsi="Times New Roman" w:cs="Times New Roman"/>
          <w:sz w:val="24"/>
          <w:szCs w:val="24"/>
        </w:rPr>
        <w:t xml:space="preserve"> Agama.</w:t>
      </w:r>
      <w:r w:rsidR="000D0949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:rsidR="00822CC6" w:rsidRDefault="00554EB3" w:rsidP="00FC5009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FD1">
        <w:rPr>
          <w:rFonts w:ascii="Times New Roman" w:hAnsi="Times New Roman" w:cs="Times New Roman"/>
          <w:sz w:val="24"/>
          <w:szCs w:val="24"/>
        </w:rPr>
        <w:t>Proses beracara secara sederhana di Pengadilan Agama meliputi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menyusun gugatan atau permohonan, penerimaan perkara, penetapan biaya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perkara, penetapan majelis hakim, penunjukan panitera sidang, penetapan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hari sidang, proses pemeriksaan perkara dalam persidangan sampai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perkara itu diputus.</w:t>
      </w:r>
    </w:p>
    <w:p w:rsidR="00E67D6B" w:rsidRDefault="00E67D6B" w:rsidP="00FC5009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D6B" w:rsidRPr="00822CC6" w:rsidRDefault="00E67D6B" w:rsidP="00FC5009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C86" w:rsidRDefault="00554EB3" w:rsidP="009D5C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D1">
        <w:rPr>
          <w:rFonts w:ascii="Times New Roman" w:hAnsi="Times New Roman" w:cs="Times New Roman"/>
          <w:b/>
          <w:sz w:val="24"/>
          <w:szCs w:val="24"/>
        </w:rPr>
        <w:lastRenderedPageBreak/>
        <w:t>Menyusun Gugatan</w:t>
      </w:r>
      <w:r w:rsidR="00DA3FD1">
        <w:rPr>
          <w:rFonts w:ascii="Times New Roman" w:hAnsi="Times New Roman" w:cs="Times New Roman"/>
          <w:b/>
          <w:sz w:val="24"/>
          <w:szCs w:val="24"/>
        </w:rPr>
        <w:t>.</w:t>
      </w:r>
    </w:p>
    <w:p w:rsidR="009D5C86" w:rsidRPr="009D5C86" w:rsidRDefault="009D5C86" w:rsidP="00935C8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D1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49">
        <w:rPr>
          <w:rFonts w:ascii="Times New Roman" w:hAnsi="Times New Roman" w:cs="Times New Roman"/>
          <w:sz w:val="24"/>
          <w:szCs w:val="24"/>
        </w:rPr>
        <w:t>Dalam lingkungan peradilan terutama di Pengadilan Agama dan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>Pengadilan Umum yang sering terjadi adalah permohonan dan gugatan.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>Baik permohonan dan gugatan dapat diajukan oleh seorang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0D0949">
        <w:rPr>
          <w:rFonts w:ascii="Times New Roman" w:hAnsi="Times New Roman" w:cs="Times New Roman"/>
          <w:sz w:val="24"/>
          <w:szCs w:val="24"/>
        </w:rPr>
        <w:t xml:space="preserve">pemohon/penggugat </w:t>
      </w:r>
      <w:r w:rsidR="000D0949">
        <w:rPr>
          <w:rFonts w:ascii="Times New Roman" w:hAnsi="Times New Roman" w:cs="Times New Roman"/>
          <w:sz w:val="24"/>
          <w:szCs w:val="24"/>
        </w:rPr>
        <w:t>at</w:t>
      </w:r>
      <w:r w:rsidR="00D630C8">
        <w:rPr>
          <w:rFonts w:ascii="Times New Roman" w:hAnsi="Times New Roman" w:cs="Times New Roman"/>
          <w:sz w:val="24"/>
          <w:szCs w:val="24"/>
        </w:rPr>
        <w:t>a</w:t>
      </w:r>
      <w:r w:rsidR="000D0949">
        <w:rPr>
          <w:rFonts w:ascii="Times New Roman" w:hAnsi="Times New Roman" w:cs="Times New Roman"/>
          <w:sz w:val="24"/>
          <w:szCs w:val="24"/>
        </w:rPr>
        <w:t>u lebih secara bersama-sama.</w:t>
      </w:r>
    </w:p>
    <w:p w:rsidR="00723195" w:rsidRPr="00E67D6B" w:rsidRDefault="00554EB3" w:rsidP="00E67D6B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1">
        <w:rPr>
          <w:rFonts w:ascii="Times New Roman" w:hAnsi="Times New Roman" w:cs="Times New Roman"/>
          <w:sz w:val="24"/>
          <w:szCs w:val="24"/>
        </w:rPr>
        <w:t>Pada prinsipnya semua gugatan atau permohonan harus dibuat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secara tertulis. Isi gugatan atau permohonan mencakup tiga hal yakni</w:t>
      </w:r>
      <w:r w:rsidR="00F51032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pertama identitas para pihak (penggugat atau pemohon dan tergugat atau</w:t>
      </w:r>
      <w:r w:rsidR="002B57E5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 xml:space="preserve">termohon), kedua posita. </w:t>
      </w:r>
      <w:r w:rsidR="00F00C8F">
        <w:rPr>
          <w:rFonts w:ascii="Times New Roman" w:hAnsi="Times New Roman" w:cs="Times New Roman"/>
          <w:sz w:val="24"/>
          <w:szCs w:val="24"/>
        </w:rPr>
        <w:t>Dalam hal ini</w:t>
      </w:r>
      <w:r w:rsidR="00CE0991">
        <w:rPr>
          <w:rFonts w:ascii="Times New Roman" w:hAnsi="Times New Roman" w:cs="Times New Roman"/>
          <w:sz w:val="24"/>
          <w:szCs w:val="24"/>
        </w:rPr>
        <w:t xml:space="preserve"> A. Mukti Arto y</w:t>
      </w:r>
      <w:r w:rsidR="00F00C8F">
        <w:rPr>
          <w:rFonts w:ascii="Times New Roman" w:hAnsi="Times New Roman" w:cs="Times New Roman"/>
          <w:sz w:val="24"/>
          <w:szCs w:val="24"/>
        </w:rPr>
        <w:t>ang merumuskan pengertian posita yaitu</w:t>
      </w:r>
      <w:r w:rsidR="002B57E5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penjelasan tentang</w:t>
      </w:r>
      <w:r w:rsidR="002B57E5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keadaan atau peristiwa dan penjelasan yang berhubungan dengan hukum</w:t>
      </w:r>
      <w:r w:rsidR="002B57E5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>yang dijadikan dasar ata</w:t>
      </w:r>
      <w:r w:rsidR="004C7DF5">
        <w:rPr>
          <w:rFonts w:ascii="Times New Roman" w:hAnsi="Times New Roman" w:cs="Times New Roman"/>
          <w:sz w:val="24"/>
          <w:szCs w:val="24"/>
        </w:rPr>
        <w:t>u alasan gugat. Ketiga petitum, y</w:t>
      </w:r>
      <w:r w:rsidRPr="00DA3FD1">
        <w:rPr>
          <w:rFonts w:ascii="Times New Roman" w:hAnsi="Times New Roman" w:cs="Times New Roman"/>
          <w:sz w:val="24"/>
          <w:szCs w:val="24"/>
        </w:rPr>
        <w:t>ang dimaksud</w:t>
      </w:r>
      <w:r w:rsidR="002B57E5">
        <w:rPr>
          <w:rFonts w:ascii="Times New Roman" w:hAnsi="Times New Roman" w:cs="Times New Roman"/>
          <w:sz w:val="24"/>
          <w:szCs w:val="24"/>
        </w:rPr>
        <w:t xml:space="preserve"> </w:t>
      </w:r>
      <w:r w:rsidRPr="00DA3FD1">
        <w:rPr>
          <w:rFonts w:ascii="Times New Roman" w:hAnsi="Times New Roman" w:cs="Times New Roman"/>
          <w:sz w:val="24"/>
          <w:szCs w:val="24"/>
        </w:rPr>
        <w:t xml:space="preserve">petitum adalah tuntutan </w:t>
      </w:r>
      <w:r w:rsidR="000D0949" w:rsidRPr="00DA3FD1">
        <w:rPr>
          <w:rFonts w:ascii="Times New Roman" w:hAnsi="Times New Roman" w:cs="Times New Roman"/>
          <w:sz w:val="24"/>
          <w:szCs w:val="24"/>
        </w:rPr>
        <w:t>agar dikabulkan oleh hakim.</w:t>
      </w:r>
      <w:r w:rsidR="000D0949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:rsidR="00822CC6" w:rsidRDefault="00554EB3" w:rsidP="001302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EC">
        <w:rPr>
          <w:rFonts w:ascii="Times New Roman" w:hAnsi="Times New Roman" w:cs="Times New Roman"/>
          <w:b/>
          <w:sz w:val="24"/>
          <w:szCs w:val="24"/>
        </w:rPr>
        <w:t>Penerimaan Perkara</w:t>
      </w:r>
      <w:r w:rsidR="00037BEC">
        <w:rPr>
          <w:rFonts w:ascii="Times New Roman" w:hAnsi="Times New Roman" w:cs="Times New Roman"/>
          <w:b/>
          <w:sz w:val="24"/>
          <w:szCs w:val="24"/>
        </w:rPr>
        <w:t>.</w:t>
      </w:r>
    </w:p>
    <w:p w:rsidR="000D0949" w:rsidRPr="00130257" w:rsidRDefault="00554EB3" w:rsidP="0013025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257">
        <w:rPr>
          <w:rFonts w:ascii="Times New Roman" w:hAnsi="Times New Roman" w:cs="Times New Roman"/>
          <w:sz w:val="24"/>
          <w:szCs w:val="24"/>
        </w:rPr>
        <w:t>Proses penerimaan perkara melalui tahap-tahap sebagai berikut :</w:t>
      </w:r>
    </w:p>
    <w:p w:rsidR="00FB7D1A" w:rsidRPr="00037BEC" w:rsidRDefault="00554EB3" w:rsidP="00037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EC">
        <w:rPr>
          <w:rFonts w:ascii="Times New Roman" w:hAnsi="Times New Roman" w:cs="Times New Roman"/>
          <w:b/>
          <w:sz w:val="24"/>
          <w:szCs w:val="24"/>
        </w:rPr>
        <w:t>Meja I</w:t>
      </w:r>
      <w:r w:rsidR="00037BEC">
        <w:rPr>
          <w:rFonts w:ascii="Times New Roman" w:hAnsi="Times New Roman" w:cs="Times New Roman"/>
          <w:b/>
          <w:sz w:val="24"/>
          <w:szCs w:val="24"/>
        </w:rPr>
        <w:t>.</w:t>
      </w:r>
    </w:p>
    <w:p w:rsidR="006F6C78" w:rsidRDefault="00554EB3" w:rsidP="00037BEC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1A">
        <w:rPr>
          <w:rFonts w:ascii="Times New Roman" w:hAnsi="Times New Roman" w:cs="Times New Roman"/>
          <w:sz w:val="24"/>
          <w:szCs w:val="24"/>
        </w:rPr>
        <w:t xml:space="preserve">Tugas meja I </w:t>
      </w:r>
      <w:r w:rsidR="000A6FF5">
        <w:rPr>
          <w:rFonts w:ascii="Times New Roman" w:hAnsi="Times New Roman" w:cs="Times New Roman"/>
          <w:sz w:val="24"/>
          <w:szCs w:val="24"/>
        </w:rPr>
        <w:t>men</w:t>
      </w:r>
      <w:r w:rsidR="006560FB">
        <w:rPr>
          <w:rFonts w:ascii="Times New Roman" w:hAnsi="Times New Roman" w:cs="Times New Roman"/>
          <w:sz w:val="24"/>
          <w:szCs w:val="24"/>
        </w:rPr>
        <w:t xml:space="preserve">urut Mahkamah Agung </w:t>
      </w:r>
      <w:r w:rsidRPr="00FB7D1A">
        <w:rPr>
          <w:rFonts w:ascii="Times New Roman" w:hAnsi="Times New Roman" w:cs="Times New Roman"/>
          <w:sz w:val="24"/>
          <w:szCs w:val="24"/>
        </w:rPr>
        <w:t xml:space="preserve">yaitu </w:t>
      </w:r>
      <w:r w:rsidR="006560FB">
        <w:rPr>
          <w:rFonts w:ascii="Times New Roman" w:hAnsi="Times New Roman" w:cs="Times New Roman"/>
          <w:sz w:val="24"/>
          <w:szCs w:val="24"/>
        </w:rPr>
        <w:t>:</w:t>
      </w:r>
    </w:p>
    <w:p w:rsidR="00FB7D1A" w:rsidRDefault="006F6C78" w:rsidP="00F23E8F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D1A">
        <w:rPr>
          <w:rFonts w:ascii="Times New Roman" w:hAnsi="Times New Roman" w:cs="Times New Roman"/>
          <w:sz w:val="24"/>
          <w:szCs w:val="24"/>
        </w:rPr>
        <w:t xml:space="preserve">Menerima </w:t>
      </w:r>
      <w:r w:rsidR="00554EB3" w:rsidRPr="00FB7D1A">
        <w:rPr>
          <w:rFonts w:ascii="Times New Roman" w:hAnsi="Times New Roman" w:cs="Times New Roman"/>
          <w:sz w:val="24"/>
          <w:szCs w:val="24"/>
        </w:rPr>
        <w:t>gugatan, permohonan, perlawanan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(verzet), pernyataan banding, kasasi, peninjauan kembali, eksekusi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penjelasan dan penaksiran biaya perkara dan biaya eksekusi, membuat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surat kuasa untuk membayar (SKUM) dalam rangkap 3 dan menyerahkan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SKUM tersebut kepada calon Penggugat atau Pemohon, menyerahkan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kembali surat gugatan atau permohonan kepada calon Pengugat atau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Pemohon. menaksir biaya perkara (pasal 121 HIR/145 RBG) yang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 xml:space="preserve">kemudian dinyatakan dalam SKUM, </w:t>
      </w:r>
      <w:r w:rsidR="00554EB3" w:rsidRPr="00554EB3">
        <w:rPr>
          <w:rFonts w:ascii="Times New Roman" w:hAnsi="Times New Roman" w:cs="Times New Roman"/>
          <w:sz w:val="24"/>
          <w:szCs w:val="24"/>
        </w:rPr>
        <w:lastRenderedPageBreak/>
        <w:t>memberi penjelasan-penjelasan yang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 xml:space="preserve">dianggap perlu berkenaan </w:t>
      </w:r>
      <w:r w:rsidR="00FB7D1A">
        <w:rPr>
          <w:rFonts w:ascii="Times New Roman" w:hAnsi="Times New Roman" w:cs="Times New Roman"/>
          <w:sz w:val="24"/>
          <w:szCs w:val="24"/>
        </w:rPr>
        <w:t>dengan perkara yang dijadikan.</w:t>
      </w:r>
      <w:r w:rsidR="00FB7D1A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3F0FA2" w:rsidRDefault="003F0FA2" w:rsidP="006F6C7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7D1A" w:rsidRDefault="00554EB3" w:rsidP="00037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EC">
        <w:rPr>
          <w:rFonts w:ascii="Times New Roman" w:hAnsi="Times New Roman" w:cs="Times New Roman"/>
          <w:b/>
          <w:sz w:val="24"/>
          <w:szCs w:val="24"/>
        </w:rPr>
        <w:t>Kas</w:t>
      </w:r>
    </w:p>
    <w:p w:rsidR="00CA369D" w:rsidRPr="00CA369D" w:rsidRDefault="00CA369D" w:rsidP="00F23E8F">
      <w:pPr>
        <w:pStyle w:val="ListParagraph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Mahkamah Agung mendeskripsikan </w:t>
      </w:r>
      <w:r w:rsidRPr="00FB7D1A">
        <w:rPr>
          <w:rFonts w:ascii="Times New Roman" w:hAnsi="Times New Roman" w:cs="Times New Roman"/>
          <w:sz w:val="24"/>
          <w:szCs w:val="24"/>
        </w:rPr>
        <w:t>kas disini merupakan bagian dari Meja I yang mempunyai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tugas yaitu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7A60" w:rsidRDefault="00CA369D" w:rsidP="00F23E8F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 xml:space="preserve">Menerima </w:t>
      </w:r>
      <w:r w:rsidR="00554EB3" w:rsidRPr="00554EB3">
        <w:rPr>
          <w:rFonts w:ascii="Times New Roman" w:hAnsi="Times New Roman" w:cs="Times New Roman"/>
          <w:sz w:val="24"/>
          <w:szCs w:val="24"/>
        </w:rPr>
        <w:t>pembayaran uang panjar perkara sebag</w:t>
      </w:r>
      <w:r w:rsidR="006C4F64">
        <w:rPr>
          <w:rFonts w:ascii="Times New Roman" w:hAnsi="Times New Roman" w:cs="Times New Roman"/>
          <w:sz w:val="24"/>
          <w:szCs w:val="24"/>
        </w:rPr>
        <w:t>a</w:t>
      </w:r>
      <w:r w:rsidR="00554EB3" w:rsidRPr="00554EB3">
        <w:rPr>
          <w:rFonts w:ascii="Times New Roman" w:hAnsi="Times New Roman" w:cs="Times New Roman"/>
          <w:sz w:val="24"/>
          <w:szCs w:val="24"/>
        </w:rPr>
        <w:t>imana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tersebut dalam SKUM, menerima pembayaran uang panjar perkara/biaya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eksekusi dan membukukan dalam jurnal yang terdiri atas KI. PA1./P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(untuk perkara permohonan), KI. PA1/G (untuk perkara Gugatan), KI.PA2 (untuk perkara Banding), KI. PA3 (untuk perkara Kasasi), KI. PA4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(untuk perkara PK), KI. PA5 (untuk perkara permohonan eksekusi),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Mencatat tertib segala kegiatan pengeluaran uang tersebut dalam buku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jurnal yang bersangkutan, membubuhi nomor urut perkara dan tanggal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penerimaan perkara dalam SKUM dan dalam surat gugatan/permohonan,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mengembalikan asli serta tindasan pertama SKUM beserta surat gugatan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atau permohonan kepada calon Penggugat atau Pemohon, terhadap perkara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prodeo tetap dibuatkan SKUM sebesar Rp 00,-</w:t>
      </w:r>
      <w:r w:rsidR="00FB7D1A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:rsidR="00CA369D" w:rsidRPr="00CA369D" w:rsidRDefault="00CA369D" w:rsidP="00CA369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7D1A" w:rsidRPr="003856A0" w:rsidRDefault="00554EB3" w:rsidP="003856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A0">
        <w:rPr>
          <w:rFonts w:ascii="Times New Roman" w:hAnsi="Times New Roman" w:cs="Times New Roman"/>
          <w:b/>
          <w:sz w:val="24"/>
          <w:szCs w:val="24"/>
        </w:rPr>
        <w:t>Meja II.</w:t>
      </w:r>
    </w:p>
    <w:p w:rsidR="003856A0" w:rsidRDefault="003856A0" w:rsidP="004B7614">
      <w:pPr>
        <w:pStyle w:val="ListParagraph"/>
        <w:autoSpaceDE w:val="0"/>
        <w:autoSpaceDN w:val="0"/>
        <w:adjustRightInd w:val="0"/>
        <w:spacing w:after="0"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Mahkamah Agung mengemukakan kembali bahwa </w:t>
      </w:r>
      <w:r w:rsidRPr="00FB7D1A">
        <w:rPr>
          <w:rFonts w:ascii="Times New Roman" w:hAnsi="Times New Roman" w:cs="Times New Roman"/>
          <w:sz w:val="24"/>
          <w:szCs w:val="24"/>
        </w:rPr>
        <w:t xml:space="preserve">tugas </w:t>
      </w:r>
      <w:r w:rsidR="00554EB3" w:rsidRPr="00FB7D1A">
        <w:rPr>
          <w:rFonts w:ascii="Times New Roman" w:hAnsi="Times New Roman" w:cs="Times New Roman"/>
          <w:sz w:val="24"/>
          <w:szCs w:val="24"/>
        </w:rPr>
        <w:t>dari meja II</w:t>
      </w:r>
      <w:r>
        <w:rPr>
          <w:rFonts w:ascii="Times New Roman" w:hAnsi="Times New Roman" w:cs="Times New Roman"/>
          <w:sz w:val="24"/>
          <w:szCs w:val="24"/>
        </w:rPr>
        <w:t xml:space="preserve"> yaitu</w:t>
      </w:r>
    </w:p>
    <w:p w:rsidR="0074734D" w:rsidRDefault="003856A0" w:rsidP="004B7614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D1A">
        <w:rPr>
          <w:rFonts w:ascii="Times New Roman" w:hAnsi="Times New Roman" w:cs="Times New Roman"/>
          <w:sz w:val="24"/>
          <w:szCs w:val="24"/>
        </w:rPr>
        <w:t xml:space="preserve">Menerima </w:t>
      </w:r>
      <w:r w:rsidR="00554EB3" w:rsidRPr="00FB7D1A">
        <w:rPr>
          <w:rFonts w:ascii="Times New Roman" w:hAnsi="Times New Roman" w:cs="Times New Roman"/>
          <w:sz w:val="24"/>
          <w:szCs w:val="24"/>
        </w:rPr>
        <w:t>surat gugatan atau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permohonan dari calon Penggugat atau Pemohon/Pelawan dalam rangkap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sebanyak jumlah tergugat/ termohon/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B7D1A">
        <w:rPr>
          <w:rFonts w:ascii="Times New Roman" w:hAnsi="Times New Roman" w:cs="Times New Roman"/>
          <w:sz w:val="24"/>
          <w:szCs w:val="24"/>
        </w:rPr>
        <w:t>terlawan ditambah 2 rangkap,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menerima surat permohonan dari calon pemohon sekurang-kurangnya dua</w:t>
      </w:r>
      <w:r w:rsidR="004B7614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rangkap, menerima tindasan pertama SKU</w:t>
      </w:r>
      <w:r w:rsidR="000367FB">
        <w:rPr>
          <w:rFonts w:ascii="Times New Roman" w:hAnsi="Times New Roman" w:cs="Times New Roman"/>
          <w:sz w:val="24"/>
          <w:szCs w:val="24"/>
        </w:rPr>
        <w:t>M dari calon penggugat/pemohon/</w:t>
      </w:r>
      <w:r w:rsidR="00554EB3" w:rsidRPr="00554EB3">
        <w:rPr>
          <w:rFonts w:ascii="Times New Roman" w:hAnsi="Times New Roman" w:cs="Times New Roman"/>
          <w:sz w:val="24"/>
          <w:szCs w:val="24"/>
        </w:rPr>
        <w:t>pelawan, mendaft</w:t>
      </w:r>
      <w:r w:rsidR="000367FB">
        <w:rPr>
          <w:rFonts w:ascii="Times New Roman" w:hAnsi="Times New Roman" w:cs="Times New Roman"/>
          <w:sz w:val="24"/>
          <w:szCs w:val="24"/>
        </w:rPr>
        <w:t>ar atau mencatat surat gugatan/</w:t>
      </w:r>
      <w:r w:rsidR="00554EB3" w:rsidRPr="00554EB3">
        <w:rPr>
          <w:rFonts w:ascii="Times New Roman" w:hAnsi="Times New Roman" w:cs="Times New Roman"/>
          <w:sz w:val="24"/>
          <w:szCs w:val="24"/>
        </w:rPr>
        <w:t>permohonan</w:t>
      </w:r>
      <w:r w:rsidR="00B3671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dalam register yang bersangkutan serta memberi nomor register pada surat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0367FB">
        <w:rPr>
          <w:rFonts w:ascii="Times New Roman" w:hAnsi="Times New Roman" w:cs="Times New Roman"/>
          <w:sz w:val="24"/>
          <w:szCs w:val="24"/>
        </w:rPr>
        <w:t>gugatan/</w:t>
      </w:r>
      <w:r w:rsidR="00554EB3" w:rsidRPr="00554EB3">
        <w:rPr>
          <w:rFonts w:ascii="Times New Roman" w:hAnsi="Times New Roman" w:cs="Times New Roman"/>
          <w:sz w:val="24"/>
          <w:szCs w:val="24"/>
        </w:rPr>
        <w:t>permohoan tersebut, menyerahkan kembali satu rangkap surat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gugatan, atau permohonan yang telah diberi nomor register kepada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penggugat atau pemohon, asli surat gugatan atau permohonan dimasuk</w:t>
      </w:r>
      <w:r w:rsidR="000D02E2">
        <w:rPr>
          <w:rFonts w:ascii="Times New Roman" w:hAnsi="Times New Roman" w:cs="Times New Roman"/>
          <w:sz w:val="24"/>
          <w:szCs w:val="24"/>
        </w:rPr>
        <w:t>k</w:t>
      </w:r>
      <w:r w:rsidR="00554EB3" w:rsidRPr="00554EB3">
        <w:rPr>
          <w:rFonts w:ascii="Times New Roman" w:hAnsi="Times New Roman" w:cs="Times New Roman"/>
          <w:sz w:val="24"/>
          <w:szCs w:val="24"/>
        </w:rPr>
        <w:t>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dalam sebuah map khusus dengan melampirkan tindasan pertama SKUM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 xml:space="preserve">dan surat-surat lain </w:t>
      </w:r>
      <w:r w:rsidR="00B36712">
        <w:rPr>
          <w:rFonts w:ascii="Times New Roman" w:hAnsi="Times New Roman" w:cs="Times New Roman"/>
          <w:sz w:val="24"/>
          <w:szCs w:val="24"/>
        </w:rPr>
        <w:t xml:space="preserve">yang berhubungan dengan gugatan atau </w:t>
      </w:r>
      <w:r w:rsidR="00554EB3" w:rsidRPr="00554EB3">
        <w:rPr>
          <w:rFonts w:ascii="Times New Roman" w:hAnsi="Times New Roman" w:cs="Times New Roman"/>
          <w:sz w:val="24"/>
          <w:szCs w:val="24"/>
        </w:rPr>
        <w:t>permohonan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tersebut, kemudian disampaikan kepada wakil panitera untuk selanjutnya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disampaikan</w:t>
      </w:r>
      <w:r w:rsidR="00B36712">
        <w:rPr>
          <w:rFonts w:ascii="Times New Roman" w:hAnsi="Times New Roman" w:cs="Times New Roman"/>
          <w:sz w:val="24"/>
          <w:szCs w:val="24"/>
        </w:rPr>
        <w:t xml:space="preserve"> kepada Ketua Pengadilan Agama </w:t>
      </w:r>
      <w:r w:rsidR="00554EB3" w:rsidRPr="00554EB3">
        <w:rPr>
          <w:rFonts w:ascii="Times New Roman" w:hAnsi="Times New Roman" w:cs="Times New Roman"/>
          <w:sz w:val="24"/>
          <w:szCs w:val="24"/>
        </w:rPr>
        <w:t>melalui panitera,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lastRenderedPageBreak/>
        <w:t>mendaftar atau mencata</w:t>
      </w:r>
      <w:r w:rsidR="005F6995">
        <w:rPr>
          <w:rFonts w:ascii="Times New Roman" w:hAnsi="Times New Roman" w:cs="Times New Roman"/>
          <w:sz w:val="24"/>
          <w:szCs w:val="24"/>
        </w:rPr>
        <w:t>t putusan Pengadilan Agama atau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554EB3">
        <w:rPr>
          <w:rFonts w:ascii="Times New Roman" w:hAnsi="Times New Roman" w:cs="Times New Roman"/>
          <w:sz w:val="24"/>
          <w:szCs w:val="24"/>
        </w:rPr>
        <w:t>Pengadilan</w:t>
      </w:r>
      <w:r w:rsidR="004B7614">
        <w:rPr>
          <w:rFonts w:ascii="Times New Roman" w:hAnsi="Times New Roman" w:cs="Times New Roman"/>
          <w:sz w:val="24"/>
          <w:szCs w:val="24"/>
        </w:rPr>
        <w:t xml:space="preserve"> </w:t>
      </w:r>
      <w:r w:rsidR="00B36712">
        <w:rPr>
          <w:rFonts w:ascii="Times New Roman" w:hAnsi="Times New Roman" w:cs="Times New Roman"/>
          <w:sz w:val="24"/>
          <w:szCs w:val="24"/>
        </w:rPr>
        <w:t>Tinggi Agama atau</w:t>
      </w:r>
      <w:r w:rsidR="00554EB3" w:rsidRPr="00554EB3">
        <w:rPr>
          <w:rFonts w:ascii="Times New Roman" w:hAnsi="Times New Roman" w:cs="Times New Roman"/>
          <w:sz w:val="24"/>
          <w:szCs w:val="24"/>
        </w:rPr>
        <w:t xml:space="preserve"> MA dalam sebuah bu</w:t>
      </w:r>
      <w:r w:rsidR="005F6995">
        <w:rPr>
          <w:rFonts w:ascii="Times New Roman" w:hAnsi="Times New Roman" w:cs="Times New Roman"/>
          <w:sz w:val="24"/>
          <w:szCs w:val="24"/>
        </w:rPr>
        <w:t xml:space="preserve">ku register yang </w:t>
      </w:r>
      <w:r w:rsidR="00FB7D1A">
        <w:rPr>
          <w:rFonts w:ascii="Times New Roman" w:hAnsi="Times New Roman" w:cs="Times New Roman"/>
          <w:sz w:val="24"/>
          <w:szCs w:val="24"/>
        </w:rPr>
        <w:t>bersangkutan.</w:t>
      </w:r>
      <w:r w:rsidR="00FB7D1A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:rsidR="005F6995" w:rsidRPr="005F6995" w:rsidRDefault="005F6995" w:rsidP="005F6995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7D1A" w:rsidRPr="0074734D" w:rsidRDefault="00554EB3" w:rsidP="00F82E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34D">
        <w:rPr>
          <w:rFonts w:ascii="Times New Roman" w:hAnsi="Times New Roman" w:cs="Times New Roman"/>
          <w:b/>
          <w:sz w:val="24"/>
          <w:szCs w:val="24"/>
        </w:rPr>
        <w:t>Ketua Pengadilan Agama</w:t>
      </w:r>
    </w:p>
    <w:p w:rsidR="006C7761" w:rsidRPr="00E67D6B" w:rsidRDefault="00554EB3" w:rsidP="00E67D6B">
      <w:pPr>
        <w:pStyle w:val="ListParagraph"/>
        <w:autoSpaceDE w:val="0"/>
        <w:autoSpaceDN w:val="0"/>
        <w:adjustRightInd w:val="0"/>
        <w:spacing w:after="0" w:line="480" w:lineRule="auto"/>
        <w:ind w:left="0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FB7D1A">
        <w:rPr>
          <w:rFonts w:ascii="Times New Roman" w:hAnsi="Times New Roman" w:cs="Times New Roman"/>
          <w:sz w:val="24"/>
          <w:szCs w:val="24"/>
        </w:rPr>
        <w:t>Setelah surat gugatan dan surat permohonan diterima oleh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pengadilan, setelah diberi nomor dan di daftar dalam buku register, dalam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waktu 3 (tiga) hari kerja, harus diserahkan kepada Ketua Pengadilan untuk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ditetapkan Hakim/Majelis Hakim yang akan memeriksa dan memutus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perkara tersebut. Ketua pengadilan dengan surat penetapan dalam waktu 3</w:t>
      </w:r>
      <w:r w:rsidR="000D02E2">
        <w:rPr>
          <w:rFonts w:ascii="Times New Roman" w:hAnsi="Times New Roman" w:cs="Times New Roman"/>
          <w:sz w:val="24"/>
          <w:szCs w:val="24"/>
        </w:rPr>
        <w:t xml:space="preserve"> (tiga) hari kerja menunjuk </w:t>
      </w:r>
      <w:r w:rsidRPr="00554EB3">
        <w:rPr>
          <w:rFonts w:ascii="Times New Roman" w:hAnsi="Times New Roman" w:cs="Times New Roman"/>
          <w:sz w:val="24"/>
          <w:szCs w:val="24"/>
        </w:rPr>
        <w:t>Hakim/Majelis Hakim yang akam memeriksa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perkara yang bersangkutan. </w:t>
      </w:r>
      <w:r w:rsidR="0054318E">
        <w:rPr>
          <w:rFonts w:ascii="Times New Roman" w:hAnsi="Times New Roman" w:cs="Times New Roman"/>
          <w:sz w:val="24"/>
          <w:szCs w:val="24"/>
        </w:rPr>
        <w:t xml:space="preserve">Mengenai hal tersebut Mahkamah Agung kembali mengemukakan bahwa </w:t>
      </w:r>
      <w:r w:rsidR="0054318E" w:rsidRPr="00554EB3">
        <w:rPr>
          <w:rFonts w:ascii="Times New Roman" w:hAnsi="Times New Roman" w:cs="Times New Roman"/>
          <w:sz w:val="24"/>
          <w:szCs w:val="24"/>
        </w:rPr>
        <w:t xml:space="preserve">apabila </w:t>
      </w:r>
      <w:r w:rsidRPr="00554EB3">
        <w:rPr>
          <w:rFonts w:ascii="Times New Roman" w:hAnsi="Times New Roman" w:cs="Times New Roman"/>
          <w:sz w:val="24"/>
          <w:szCs w:val="24"/>
        </w:rPr>
        <w:t>Ketua Pengadilan, karena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kesibuka</w:t>
      </w:r>
      <w:r w:rsidR="00763A9F">
        <w:rPr>
          <w:rFonts w:ascii="Times New Roman" w:hAnsi="Times New Roman" w:cs="Times New Roman"/>
          <w:sz w:val="24"/>
          <w:szCs w:val="24"/>
        </w:rPr>
        <w:t>n</w:t>
      </w:r>
      <w:r w:rsidRPr="00554EB3">
        <w:rPr>
          <w:rFonts w:ascii="Times New Roman" w:hAnsi="Times New Roman" w:cs="Times New Roman"/>
          <w:sz w:val="24"/>
          <w:szCs w:val="24"/>
        </w:rPr>
        <w:t>nya berhalangan untuk melakukan hal itu, maka Ketua</w:t>
      </w:r>
      <w:r w:rsidR="000D02E2">
        <w:rPr>
          <w:rFonts w:ascii="Times New Roman" w:hAnsi="Times New Roman" w:cs="Times New Roman"/>
          <w:sz w:val="24"/>
          <w:szCs w:val="24"/>
        </w:rPr>
        <w:t xml:space="preserve"> Pengadilan dapat </w:t>
      </w:r>
      <w:r w:rsidRPr="00554EB3">
        <w:rPr>
          <w:rFonts w:ascii="Times New Roman" w:hAnsi="Times New Roman" w:cs="Times New Roman"/>
          <w:sz w:val="24"/>
          <w:szCs w:val="24"/>
        </w:rPr>
        <w:t>melimpahkan tugas tersebut untuk seluruhnya atau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sebagian, kepada </w:t>
      </w:r>
      <w:r w:rsidR="00F419C7" w:rsidRPr="00554EB3">
        <w:rPr>
          <w:rFonts w:ascii="Times New Roman" w:hAnsi="Times New Roman" w:cs="Times New Roman"/>
          <w:sz w:val="24"/>
          <w:szCs w:val="24"/>
        </w:rPr>
        <w:t xml:space="preserve">wakil </w:t>
      </w:r>
      <w:r w:rsidRPr="00554EB3">
        <w:rPr>
          <w:rFonts w:ascii="Times New Roman" w:hAnsi="Times New Roman" w:cs="Times New Roman"/>
          <w:sz w:val="24"/>
          <w:szCs w:val="24"/>
        </w:rPr>
        <w:t>ketua pengadilan. Segala yang berhubungan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dengan penunjukan Hakim/Majelis Hakim tersebut, harus dicatat dalam</w:t>
      </w:r>
      <w:r w:rsidR="00FF471A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register perkara oleh panitera. Dalam waktu selambat-lambatnya 7 ha</w:t>
      </w:r>
      <w:r w:rsidR="00FB7D1A">
        <w:rPr>
          <w:rFonts w:ascii="Times New Roman" w:hAnsi="Times New Roman" w:cs="Times New Roman"/>
          <w:sz w:val="24"/>
          <w:szCs w:val="24"/>
        </w:rPr>
        <w:t>ri.</w:t>
      </w:r>
      <w:r w:rsidR="00FB7D1A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:rsidR="00FB7D1A" w:rsidRPr="00AE53D4" w:rsidRDefault="00554EB3" w:rsidP="00F82E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D4">
        <w:rPr>
          <w:rFonts w:ascii="Times New Roman" w:hAnsi="Times New Roman" w:cs="Times New Roman"/>
          <w:b/>
          <w:sz w:val="24"/>
          <w:szCs w:val="24"/>
        </w:rPr>
        <w:t>Panitera</w:t>
      </w:r>
    </w:p>
    <w:p w:rsidR="00435EE2" w:rsidRPr="00FC5009" w:rsidRDefault="00554EB3" w:rsidP="00FC5009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1A">
        <w:rPr>
          <w:rFonts w:ascii="Times New Roman" w:hAnsi="Times New Roman" w:cs="Times New Roman"/>
          <w:sz w:val="24"/>
          <w:szCs w:val="24"/>
        </w:rPr>
        <w:t>Tugas panitera dalam hal ini adalah menunjuk panitera sidang serta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menyerahkan berkas kepada majelis. </w:t>
      </w:r>
      <w:r w:rsidR="00D36F15">
        <w:rPr>
          <w:rFonts w:ascii="Times New Roman" w:hAnsi="Times New Roman" w:cs="Times New Roman"/>
          <w:sz w:val="24"/>
          <w:szCs w:val="24"/>
        </w:rPr>
        <w:t>Dalam hal ini A. Mukti Arto menjelaskan bahwa u</w:t>
      </w:r>
      <w:r w:rsidRPr="00554EB3">
        <w:rPr>
          <w:rFonts w:ascii="Times New Roman" w:hAnsi="Times New Roman" w:cs="Times New Roman"/>
          <w:sz w:val="24"/>
          <w:szCs w:val="24"/>
        </w:rPr>
        <w:t>ntuk membantu majelis hakim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dalam menyelesaikan perkara ditunjuk se</w:t>
      </w:r>
      <w:r w:rsidR="00FB7D1A">
        <w:rPr>
          <w:rFonts w:ascii="Times New Roman" w:hAnsi="Times New Roman" w:cs="Times New Roman"/>
          <w:sz w:val="24"/>
          <w:szCs w:val="24"/>
        </w:rPr>
        <w:t>orang atau lebih panitera sidang</w:t>
      </w:r>
      <w:r w:rsidRPr="00554EB3">
        <w:rPr>
          <w:rFonts w:ascii="Times New Roman" w:hAnsi="Times New Roman" w:cs="Times New Roman"/>
          <w:sz w:val="24"/>
          <w:szCs w:val="24"/>
        </w:rPr>
        <w:t>, wakil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panitera, panitera muda dan panitera </w:t>
      </w:r>
      <w:r w:rsidRPr="00554EB3">
        <w:rPr>
          <w:rFonts w:ascii="Times New Roman" w:hAnsi="Times New Roman" w:cs="Times New Roman"/>
          <w:sz w:val="24"/>
          <w:szCs w:val="24"/>
        </w:rPr>
        <w:lastRenderedPageBreak/>
        <w:t>pengganti. Panitera bertugas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membantu hakim dengan menghadiri dan mencatat jalannya sidang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pengadilan</w:t>
      </w:r>
      <w:r w:rsidR="00FB7D1A">
        <w:rPr>
          <w:rFonts w:ascii="Times New Roman" w:hAnsi="Times New Roman" w:cs="Times New Roman"/>
          <w:sz w:val="24"/>
          <w:szCs w:val="24"/>
        </w:rPr>
        <w:t>.</w:t>
      </w:r>
      <w:r w:rsidR="00FB7D1A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:rsidR="00D243F6" w:rsidRPr="00F17448" w:rsidRDefault="00554EB3" w:rsidP="00F174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48">
        <w:rPr>
          <w:rFonts w:ascii="Times New Roman" w:hAnsi="Times New Roman" w:cs="Times New Roman"/>
          <w:b/>
          <w:sz w:val="24"/>
          <w:szCs w:val="24"/>
        </w:rPr>
        <w:t>Majelis sidang</w:t>
      </w:r>
    </w:p>
    <w:p w:rsidR="0035749A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Setelah hakim ketua menerima berkas perkara dari ketua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Pengadilan Agama, kemudian hakim Ketua Majelis dengan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bermusyawarah dengan hakim anggota menetapkan hari dan tanggal serta</w:t>
      </w:r>
      <w:r w:rsidR="002E4E80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jam perkara yang akan disidangkan dan memerintahkan agar para pihak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dipanggil untuk hadir sesuai hari, tanggal dan jam yang telah ditentukan.</w:t>
      </w:r>
    </w:p>
    <w:p w:rsidR="00F36FDC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Penetapan dan perintah tersebut dituangkan dalam penetapan hari sidang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(PHS) yang di tandatangani oleh hakim dan Ketua Majelis, dalam hal ini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hakim harus mempertimbangkan ketentuan 30 hari untuk sidang pertama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dari tanggal pendaftaran, jarak antara pihak-pihak yang berperkara dengan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Pengadilan Agama, asas kepatutan memanggil yaitu tidak kurang dari 3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hari kerja dari hari sidang, </w:t>
      </w:r>
      <w:r w:rsidR="00F17448">
        <w:rPr>
          <w:rFonts w:ascii="Times New Roman" w:hAnsi="Times New Roman" w:cs="Times New Roman"/>
          <w:sz w:val="24"/>
          <w:szCs w:val="24"/>
        </w:rPr>
        <w:t xml:space="preserve">Mahkamah </w:t>
      </w:r>
      <w:r w:rsidR="00992186">
        <w:rPr>
          <w:rFonts w:ascii="Times New Roman" w:hAnsi="Times New Roman" w:cs="Times New Roman"/>
          <w:sz w:val="24"/>
          <w:szCs w:val="24"/>
        </w:rPr>
        <w:t>Agung memberikan penjelasan ba</w:t>
      </w:r>
      <w:r w:rsidR="00F17448">
        <w:rPr>
          <w:rFonts w:ascii="Times New Roman" w:hAnsi="Times New Roman" w:cs="Times New Roman"/>
          <w:sz w:val="24"/>
          <w:szCs w:val="24"/>
        </w:rPr>
        <w:t>h</w:t>
      </w:r>
      <w:r w:rsidR="00992186">
        <w:rPr>
          <w:rFonts w:ascii="Times New Roman" w:hAnsi="Times New Roman" w:cs="Times New Roman"/>
          <w:sz w:val="24"/>
          <w:szCs w:val="24"/>
        </w:rPr>
        <w:t>wa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PHS tersebut harus menyebutkan :</w:t>
      </w:r>
    </w:p>
    <w:p w:rsidR="00F36FDC" w:rsidRDefault="006C7761" w:rsidP="000C4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="00554EB3" w:rsidRPr="00F36FDC">
        <w:rPr>
          <w:rFonts w:ascii="Times New Roman" w:hAnsi="Times New Roman" w:cs="Times New Roman"/>
          <w:sz w:val="24"/>
          <w:szCs w:val="24"/>
        </w:rPr>
        <w:t>nya perintah penyerahan sehelai surat gugatan/permohonan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36FDC">
        <w:rPr>
          <w:rFonts w:ascii="Times New Roman" w:hAnsi="Times New Roman" w:cs="Times New Roman"/>
          <w:sz w:val="24"/>
          <w:szCs w:val="24"/>
        </w:rPr>
        <w:t>kepada tergugat/termohon.</w:t>
      </w:r>
    </w:p>
    <w:p w:rsidR="00F36FDC" w:rsidRDefault="006C7761" w:rsidP="000C4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="00554EB3" w:rsidRPr="00F36FDC">
        <w:rPr>
          <w:rFonts w:ascii="Times New Roman" w:hAnsi="Times New Roman" w:cs="Times New Roman"/>
          <w:sz w:val="24"/>
          <w:szCs w:val="24"/>
        </w:rPr>
        <w:t>nya pemberitahuan bahwa tergugat/termohon boleh mengajukan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F36FDC">
        <w:rPr>
          <w:rFonts w:ascii="Times New Roman" w:hAnsi="Times New Roman" w:cs="Times New Roman"/>
          <w:sz w:val="24"/>
          <w:szCs w:val="24"/>
        </w:rPr>
        <w:t>jawaban tertulis.</w:t>
      </w:r>
    </w:p>
    <w:p w:rsidR="00F36FDC" w:rsidRDefault="00554EB3" w:rsidP="000C4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FDC">
        <w:rPr>
          <w:rFonts w:ascii="Times New Roman" w:hAnsi="Times New Roman" w:cs="Times New Roman"/>
          <w:sz w:val="24"/>
          <w:szCs w:val="24"/>
        </w:rPr>
        <w:t>Pemberitahuan bahwa yang bersangkutan boleh membawa saksi-saksi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F36FDC">
        <w:rPr>
          <w:rFonts w:ascii="Times New Roman" w:hAnsi="Times New Roman" w:cs="Times New Roman"/>
          <w:sz w:val="24"/>
          <w:szCs w:val="24"/>
        </w:rPr>
        <w:t>dan alat buktinya.</w:t>
      </w:r>
    </w:p>
    <w:p w:rsidR="00F36FDC" w:rsidRDefault="00554EB3" w:rsidP="000C42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FDC">
        <w:rPr>
          <w:rFonts w:ascii="Times New Roman" w:hAnsi="Times New Roman" w:cs="Times New Roman"/>
          <w:sz w:val="24"/>
          <w:szCs w:val="24"/>
        </w:rPr>
        <w:t>Hakim/Ketua Majelis menandat</w:t>
      </w:r>
      <w:r w:rsidR="000D02E2" w:rsidRPr="00F36FDC">
        <w:rPr>
          <w:rFonts w:ascii="Times New Roman" w:hAnsi="Times New Roman" w:cs="Times New Roman"/>
          <w:sz w:val="24"/>
          <w:szCs w:val="24"/>
        </w:rPr>
        <w:t>angani formulir PGL 1 dan 2,</w:t>
      </w:r>
    </w:p>
    <w:p w:rsidR="0035749A" w:rsidRDefault="00554EB3" w:rsidP="003574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6FDC">
        <w:rPr>
          <w:rFonts w:ascii="Times New Roman" w:hAnsi="Times New Roman" w:cs="Times New Roman"/>
          <w:sz w:val="24"/>
          <w:szCs w:val="24"/>
        </w:rPr>
        <w:t>Berdasarkan perintah hakim, maka jurusita/</w:t>
      </w:r>
      <w:r w:rsidR="000D02E2" w:rsidRPr="00F36FDC">
        <w:rPr>
          <w:rFonts w:ascii="Times New Roman" w:hAnsi="Times New Roman" w:cs="Times New Roman"/>
          <w:sz w:val="24"/>
          <w:szCs w:val="24"/>
        </w:rPr>
        <w:t xml:space="preserve">jurusita pengganti ke </w:t>
      </w:r>
      <w:r w:rsidRPr="00F36FDC">
        <w:rPr>
          <w:rFonts w:ascii="Times New Roman" w:hAnsi="Times New Roman" w:cs="Times New Roman"/>
          <w:sz w:val="24"/>
          <w:szCs w:val="24"/>
        </w:rPr>
        <w:t>kasir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F36FDC">
        <w:rPr>
          <w:rFonts w:ascii="Times New Roman" w:hAnsi="Times New Roman" w:cs="Times New Roman"/>
          <w:sz w:val="24"/>
          <w:szCs w:val="24"/>
        </w:rPr>
        <w:t>u</w:t>
      </w:r>
      <w:r w:rsidR="00D243F6" w:rsidRPr="00F36FDC">
        <w:rPr>
          <w:rFonts w:ascii="Times New Roman" w:hAnsi="Times New Roman" w:cs="Times New Roman"/>
          <w:sz w:val="24"/>
          <w:szCs w:val="24"/>
        </w:rPr>
        <w:t>ntuk meminta ongkos panggilan.</w:t>
      </w:r>
      <w:r w:rsidR="00D243F6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:rsidR="00E67D6B" w:rsidRPr="00E67D6B" w:rsidRDefault="00E67D6B" w:rsidP="00E6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9A" w:rsidRPr="0035749A" w:rsidRDefault="0035749A" w:rsidP="0035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F6" w:rsidRPr="00F36FDC" w:rsidRDefault="00711BF0" w:rsidP="00F36F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Jurusita</w:t>
      </w:r>
      <w:r w:rsidR="00554EB3" w:rsidRPr="00F36FDC">
        <w:rPr>
          <w:rFonts w:ascii="Times New Roman" w:hAnsi="Times New Roman" w:cs="Times New Roman"/>
          <w:b/>
          <w:sz w:val="24"/>
          <w:szCs w:val="24"/>
        </w:rPr>
        <w:t>/Jurusita Pengganti</w:t>
      </w:r>
    </w:p>
    <w:p w:rsidR="00D243F6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Dalam menjalankan tugasnya jurusita langsung menyampaikan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kepada yang bersangkutan dan kemudian yang dipanggil mendatang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tersebut dan bila tidak ketemu, relaa</w:t>
      </w:r>
      <w:r w:rsidR="004D01F2">
        <w:rPr>
          <w:rFonts w:ascii="Times New Roman" w:hAnsi="Times New Roman" w:cs="Times New Roman"/>
          <w:sz w:val="24"/>
          <w:szCs w:val="24"/>
        </w:rPr>
        <w:t>s disampaikan lewat Kepala Desa/</w:t>
      </w:r>
      <w:r w:rsidRPr="00554EB3">
        <w:rPr>
          <w:rFonts w:ascii="Times New Roman" w:hAnsi="Times New Roman" w:cs="Times New Roman"/>
          <w:sz w:val="24"/>
          <w:szCs w:val="24"/>
        </w:rPr>
        <w:t>Lurah serta berita acara harus dibubuhi cap dinas, bila yang</w:t>
      </w:r>
      <w:r w:rsidR="006C7761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bersangkutan atau Kepala Desa/ Lurah tidak mau menandatangani atau</w:t>
      </w:r>
      <w:r w:rsidR="001032D8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tidak mau memberikan cap dinas, maka hal ini dicacat oleh Jurusita/Jurusi</w:t>
      </w:r>
      <w:r w:rsidR="00522976">
        <w:rPr>
          <w:rFonts w:ascii="Times New Roman" w:hAnsi="Times New Roman" w:cs="Times New Roman"/>
          <w:sz w:val="24"/>
          <w:szCs w:val="24"/>
        </w:rPr>
        <w:t>ta pengganti kemudian Jurusita/</w:t>
      </w:r>
      <w:r w:rsidRPr="00554EB3">
        <w:rPr>
          <w:rFonts w:ascii="Times New Roman" w:hAnsi="Times New Roman" w:cs="Times New Roman"/>
          <w:sz w:val="24"/>
          <w:szCs w:val="24"/>
        </w:rPr>
        <w:t>Jurusita pengganti menandatangani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relaas tersebut tanpa mengurangi keabsahan surat pemanggilan.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Bila pemanggilan lewat Lurah atau Kepala Desa, maka Lurah/Kepala Desa wajib menyampaikan relaas tersebut. Dalam menyampaikan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 xml:space="preserve">pemanggilan sekurang-kurangnya 3 hari sebelum sidang dibuka. </w:t>
      </w:r>
      <w:r w:rsidR="00992186">
        <w:rPr>
          <w:rFonts w:ascii="Times New Roman" w:hAnsi="Times New Roman" w:cs="Times New Roman"/>
          <w:sz w:val="24"/>
          <w:szCs w:val="24"/>
        </w:rPr>
        <w:t>Mahkamah Agung memberikan penjelasan bahwa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="00992186">
        <w:rPr>
          <w:rFonts w:ascii="Times New Roman" w:hAnsi="Times New Roman" w:cs="Times New Roman"/>
          <w:sz w:val="24"/>
          <w:szCs w:val="24"/>
        </w:rPr>
        <w:t>a</w:t>
      </w:r>
      <w:r w:rsidRPr="00554EB3">
        <w:rPr>
          <w:rFonts w:ascii="Times New Roman" w:hAnsi="Times New Roman" w:cs="Times New Roman"/>
          <w:sz w:val="24"/>
          <w:szCs w:val="24"/>
        </w:rPr>
        <w:t>pabila</w:t>
      </w:r>
      <w:r w:rsidR="00D243F6">
        <w:rPr>
          <w:rFonts w:ascii="Times New Roman" w:hAnsi="Times New Roman" w:cs="Times New Roman"/>
          <w:sz w:val="24"/>
          <w:szCs w:val="24"/>
        </w:rPr>
        <w:t xml:space="preserve"> y</w:t>
      </w:r>
      <w:r w:rsidRPr="00554EB3">
        <w:rPr>
          <w:rFonts w:ascii="Times New Roman" w:hAnsi="Times New Roman" w:cs="Times New Roman"/>
          <w:sz w:val="24"/>
          <w:szCs w:val="24"/>
        </w:rPr>
        <w:t>an</w:t>
      </w:r>
      <w:r w:rsidR="00992186">
        <w:rPr>
          <w:rFonts w:ascii="Times New Roman" w:hAnsi="Times New Roman" w:cs="Times New Roman"/>
          <w:sz w:val="24"/>
          <w:szCs w:val="24"/>
        </w:rPr>
        <w:t>g dipanggil tidak diketahui</w:t>
      </w:r>
      <w:r w:rsidRPr="00554EB3">
        <w:rPr>
          <w:rFonts w:ascii="Times New Roman" w:hAnsi="Times New Roman" w:cs="Times New Roman"/>
          <w:sz w:val="24"/>
          <w:szCs w:val="24"/>
        </w:rPr>
        <w:t>, tidak jelas atau tidak memiliki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tempat tinggal yang tetap maka :</w:t>
      </w:r>
    </w:p>
    <w:p w:rsidR="00D243F6" w:rsidRDefault="00554EB3" w:rsidP="000C42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Perkara perceraian dan p</w:t>
      </w:r>
      <w:r w:rsidR="00D243F6">
        <w:rPr>
          <w:rFonts w:ascii="Times New Roman" w:hAnsi="Times New Roman" w:cs="Times New Roman"/>
          <w:sz w:val="24"/>
          <w:szCs w:val="24"/>
        </w:rPr>
        <w:t xml:space="preserve">embatalan nikah, maka mengikuti </w:t>
      </w:r>
      <w:r w:rsidRPr="00D243F6">
        <w:rPr>
          <w:rFonts w:ascii="Times New Roman" w:hAnsi="Times New Roman" w:cs="Times New Roman"/>
          <w:sz w:val="24"/>
          <w:szCs w:val="24"/>
        </w:rPr>
        <w:t>ketentuan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pasal 27 PP No. 9/ 1975</w:t>
      </w:r>
    </w:p>
    <w:p w:rsidR="00D243F6" w:rsidRDefault="00554EB3" w:rsidP="000C42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 xml:space="preserve">Perkara yang lain, maka mengikuti pasal 30 HIR/pasal 718 Rbg. </w:t>
      </w:r>
      <w:r w:rsidR="00D243F6" w:rsidRPr="00D243F6">
        <w:rPr>
          <w:rFonts w:ascii="Times New Roman" w:hAnsi="Times New Roman" w:cs="Times New Roman"/>
          <w:sz w:val="24"/>
          <w:szCs w:val="24"/>
        </w:rPr>
        <w:t>L</w:t>
      </w:r>
      <w:r w:rsidRPr="00D243F6">
        <w:rPr>
          <w:rFonts w:ascii="Times New Roman" w:hAnsi="Times New Roman" w:cs="Times New Roman"/>
          <w:sz w:val="24"/>
          <w:szCs w:val="24"/>
        </w:rPr>
        <w:t>ewat</w:t>
      </w:r>
      <w:r w:rsidR="00A765DE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Bupati/Walikota tempat tinggal penggugat dengan menempelkan di</w:t>
      </w:r>
      <w:r w:rsidR="00A765DE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papan pengumunan dan papan pengumuman di Pengadilan Agama dan</w:t>
      </w:r>
      <w:r w:rsidR="00097AA1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bila yang dipanggil meninggal dunia, maka panggilan disampaikan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kepada ahli warisnya, bila ahli waris tidak diketahui maka dipakai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ketentuan pada No 1</w:t>
      </w:r>
      <w:r w:rsidR="00A765DE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dalam perkara perceraian yang bersangkutan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meninggal, maka hal itu dicacat, sebagai dasar hakim untuk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menggugurkan perkara.</w:t>
      </w:r>
    </w:p>
    <w:p w:rsidR="00D243F6" w:rsidRDefault="00554EB3" w:rsidP="000C42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Apabila yang dipanggil menunjuk kuasa hukum maka relaas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disampaikan kepada kuasa hukumnya.</w:t>
      </w:r>
    </w:p>
    <w:p w:rsidR="00D243F6" w:rsidRDefault="00D243F6" w:rsidP="000C42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Jurusita</w:t>
      </w:r>
      <w:r w:rsidR="00554EB3" w:rsidRPr="00D243F6">
        <w:rPr>
          <w:rFonts w:ascii="Times New Roman" w:hAnsi="Times New Roman" w:cs="Times New Roman"/>
          <w:sz w:val="24"/>
          <w:szCs w:val="24"/>
        </w:rPr>
        <w:t>/ Jurusita Pengganti menyerahkan relaas tersebut kepada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D243F6">
        <w:rPr>
          <w:rFonts w:ascii="Times New Roman" w:hAnsi="Times New Roman" w:cs="Times New Roman"/>
          <w:sz w:val="24"/>
          <w:szCs w:val="24"/>
        </w:rPr>
        <w:t>majelis hakim yang memeriksa perkara.</w:t>
      </w:r>
    </w:p>
    <w:p w:rsidR="00B43CB2" w:rsidRDefault="00554EB3" w:rsidP="00B43C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F6">
        <w:rPr>
          <w:rFonts w:ascii="Times New Roman" w:hAnsi="Times New Roman" w:cs="Times New Roman"/>
          <w:sz w:val="24"/>
          <w:szCs w:val="24"/>
        </w:rPr>
        <w:t>Apabila yang dipanggil berada diluar yuridiksi Penga</w:t>
      </w:r>
      <w:r w:rsidR="00103037">
        <w:rPr>
          <w:rFonts w:ascii="Times New Roman" w:hAnsi="Times New Roman" w:cs="Times New Roman"/>
          <w:sz w:val="24"/>
          <w:szCs w:val="24"/>
        </w:rPr>
        <w:t>dilan Agama lain</w:t>
      </w:r>
      <w:r w:rsidR="00097AA1">
        <w:rPr>
          <w:rFonts w:ascii="Times New Roman" w:hAnsi="Times New Roman" w:cs="Times New Roman"/>
          <w:sz w:val="24"/>
          <w:szCs w:val="24"/>
        </w:rPr>
        <w:t xml:space="preserve"> </w:t>
      </w:r>
      <w:r w:rsidR="00103037">
        <w:rPr>
          <w:rFonts w:ascii="Times New Roman" w:hAnsi="Times New Roman" w:cs="Times New Roman"/>
          <w:sz w:val="24"/>
          <w:szCs w:val="24"/>
        </w:rPr>
        <w:t>maka, Jurusita/</w:t>
      </w:r>
      <w:r w:rsidRPr="00D243F6">
        <w:rPr>
          <w:rFonts w:ascii="Times New Roman" w:hAnsi="Times New Roman" w:cs="Times New Roman"/>
          <w:sz w:val="24"/>
          <w:szCs w:val="24"/>
        </w:rPr>
        <w:t>Jurusita Pen</w:t>
      </w:r>
      <w:r w:rsidR="00103037">
        <w:rPr>
          <w:rFonts w:ascii="Times New Roman" w:hAnsi="Times New Roman" w:cs="Times New Roman"/>
          <w:sz w:val="24"/>
          <w:szCs w:val="24"/>
        </w:rPr>
        <w:t xml:space="preserve">gganti Pengadilan Agama </w:t>
      </w:r>
      <w:r w:rsidRPr="00D243F6">
        <w:rPr>
          <w:rFonts w:ascii="Times New Roman" w:hAnsi="Times New Roman" w:cs="Times New Roman"/>
          <w:sz w:val="24"/>
          <w:szCs w:val="24"/>
        </w:rPr>
        <w:t xml:space="preserve">meminta bantuan </w:t>
      </w:r>
      <w:r w:rsidRPr="00D243F6">
        <w:rPr>
          <w:rFonts w:ascii="Times New Roman" w:hAnsi="Times New Roman" w:cs="Times New Roman"/>
          <w:sz w:val="24"/>
          <w:szCs w:val="24"/>
        </w:rPr>
        <w:lastRenderedPageBreak/>
        <w:t>kepada Pengadilan Agama yang lain dimana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terpanggil bertempat tinggal. Sedangkan relaas dalam hal ini harus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D243F6">
        <w:rPr>
          <w:rFonts w:ascii="Times New Roman" w:hAnsi="Times New Roman" w:cs="Times New Roman"/>
          <w:sz w:val="24"/>
          <w:szCs w:val="24"/>
        </w:rPr>
        <w:t>menyebutkan :</w:t>
      </w:r>
    </w:p>
    <w:p w:rsidR="00B43CB2" w:rsidRDefault="00554EB3" w:rsidP="00B43C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43CB2">
        <w:rPr>
          <w:rFonts w:ascii="Times New Roman" w:hAnsi="Times New Roman" w:cs="Times New Roman"/>
          <w:sz w:val="24"/>
          <w:szCs w:val="24"/>
        </w:rPr>
        <w:t>Adanya perintah penyerahkan sehelai surat gugatan/permohonan</w:t>
      </w:r>
      <w:r w:rsidR="00103037" w:rsidRPr="00B43CB2">
        <w:rPr>
          <w:rFonts w:ascii="Times New Roman" w:hAnsi="Times New Roman" w:cs="Times New Roman"/>
          <w:sz w:val="24"/>
          <w:szCs w:val="24"/>
        </w:rPr>
        <w:t xml:space="preserve"> </w:t>
      </w:r>
      <w:r w:rsidRPr="00B43CB2">
        <w:rPr>
          <w:rFonts w:ascii="Times New Roman" w:hAnsi="Times New Roman" w:cs="Times New Roman"/>
          <w:sz w:val="24"/>
          <w:szCs w:val="24"/>
        </w:rPr>
        <w:t>kepada tergugat/termohon</w:t>
      </w:r>
    </w:p>
    <w:p w:rsidR="006C7761" w:rsidRDefault="006C7761" w:rsidP="006C77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="009E302D" w:rsidRPr="00B43CB2">
        <w:rPr>
          <w:rFonts w:ascii="Times New Roman" w:hAnsi="Times New Roman" w:cs="Times New Roman"/>
          <w:sz w:val="24"/>
          <w:szCs w:val="24"/>
        </w:rPr>
        <w:t>nya pemberitahu</w:t>
      </w:r>
      <w:r>
        <w:rPr>
          <w:rFonts w:ascii="Times New Roman" w:hAnsi="Times New Roman" w:cs="Times New Roman"/>
          <w:sz w:val="24"/>
          <w:szCs w:val="24"/>
        </w:rPr>
        <w:t xml:space="preserve">an bahwa tergugat atau </w:t>
      </w:r>
      <w:r w:rsidR="009E302D" w:rsidRPr="00B43CB2">
        <w:rPr>
          <w:rFonts w:ascii="Times New Roman" w:hAnsi="Times New Roman" w:cs="Times New Roman"/>
          <w:sz w:val="24"/>
          <w:szCs w:val="24"/>
        </w:rPr>
        <w:t xml:space="preserve">termohon boleh </w:t>
      </w:r>
      <w:r w:rsidR="00554EB3" w:rsidRPr="00B43CB2">
        <w:rPr>
          <w:rFonts w:ascii="Times New Roman" w:hAnsi="Times New Roman" w:cs="Times New Roman"/>
          <w:sz w:val="24"/>
          <w:szCs w:val="24"/>
        </w:rPr>
        <w:t>mengajukan</w:t>
      </w:r>
      <w:r w:rsidR="00103037" w:rsidRPr="00B43CB2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B43CB2">
        <w:rPr>
          <w:rFonts w:ascii="Times New Roman" w:hAnsi="Times New Roman" w:cs="Times New Roman"/>
          <w:sz w:val="24"/>
          <w:szCs w:val="24"/>
        </w:rPr>
        <w:t>jawaban tertulis</w:t>
      </w:r>
    </w:p>
    <w:p w:rsidR="00BE179C" w:rsidRPr="006C7761" w:rsidRDefault="00554EB3" w:rsidP="006C77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C7761">
        <w:rPr>
          <w:rFonts w:ascii="Times New Roman" w:hAnsi="Times New Roman" w:cs="Times New Roman"/>
          <w:sz w:val="24"/>
          <w:szCs w:val="24"/>
        </w:rPr>
        <w:t>Pemberitahuan bahwa yang bersangkutan boleh membawa saksi-saksi</w:t>
      </w:r>
      <w:r w:rsidR="00D243F6" w:rsidRPr="006C7761">
        <w:rPr>
          <w:rFonts w:ascii="Times New Roman" w:hAnsi="Times New Roman" w:cs="Times New Roman"/>
          <w:sz w:val="24"/>
          <w:szCs w:val="24"/>
        </w:rPr>
        <w:t xml:space="preserve"> dan alat buktinya.</w:t>
      </w:r>
      <w:r w:rsidR="00D243F6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:rsidR="00746D81" w:rsidRPr="00746D81" w:rsidRDefault="00746D81" w:rsidP="0074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F6" w:rsidRPr="0019053A" w:rsidRDefault="00554EB3" w:rsidP="001905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3A">
        <w:rPr>
          <w:rFonts w:ascii="Times New Roman" w:hAnsi="Times New Roman" w:cs="Times New Roman"/>
          <w:b/>
          <w:sz w:val="24"/>
          <w:szCs w:val="24"/>
        </w:rPr>
        <w:t>Meja III</w:t>
      </w:r>
    </w:p>
    <w:p w:rsidR="00350E24" w:rsidRPr="00A90F36" w:rsidRDefault="0019053A" w:rsidP="00A90F36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Mahkamah Agung mengemukakan bahwa </w:t>
      </w:r>
      <w:r w:rsidRPr="00D243F6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 xml:space="preserve"> dari</w:t>
      </w:r>
      <w:r w:rsidRPr="00D243F6">
        <w:rPr>
          <w:rFonts w:ascii="Times New Roman" w:hAnsi="Times New Roman" w:cs="Times New Roman"/>
          <w:sz w:val="24"/>
          <w:szCs w:val="24"/>
        </w:rPr>
        <w:t xml:space="preserve"> meja </w:t>
      </w:r>
      <w:r w:rsidR="00554EB3" w:rsidRPr="00D243F6">
        <w:rPr>
          <w:rFonts w:ascii="Times New Roman" w:hAnsi="Times New Roman" w:cs="Times New Roman"/>
          <w:sz w:val="24"/>
          <w:szCs w:val="24"/>
        </w:rPr>
        <w:t>III disini adalah</w:t>
      </w:r>
      <w:r w:rsidR="00A90F36">
        <w:rPr>
          <w:rFonts w:ascii="Times New Roman" w:hAnsi="Times New Roman" w:cs="Times New Roman"/>
          <w:sz w:val="24"/>
          <w:szCs w:val="24"/>
        </w:rPr>
        <w:t xml:space="preserve"> </w:t>
      </w:r>
      <w:r w:rsidRPr="00A90F36">
        <w:rPr>
          <w:rFonts w:ascii="Times New Roman" w:hAnsi="Times New Roman" w:cs="Times New Roman"/>
          <w:sz w:val="24"/>
          <w:szCs w:val="24"/>
        </w:rPr>
        <w:t xml:space="preserve">Menyerahkan </w:t>
      </w:r>
      <w:r w:rsidR="00554EB3" w:rsidRPr="00A90F36">
        <w:rPr>
          <w:rFonts w:ascii="Times New Roman" w:hAnsi="Times New Roman" w:cs="Times New Roman"/>
          <w:sz w:val="24"/>
          <w:szCs w:val="24"/>
        </w:rPr>
        <w:t>salinan putusan</w:t>
      </w:r>
      <w:r w:rsidR="003E430B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A90F36">
        <w:rPr>
          <w:rFonts w:ascii="Times New Roman" w:hAnsi="Times New Roman" w:cs="Times New Roman"/>
          <w:sz w:val="24"/>
          <w:szCs w:val="24"/>
        </w:rPr>
        <w:t>Pengadilan Agama/Mahkamah Agung RI kepada yang berkepentingan,</w:t>
      </w:r>
      <w:r w:rsidR="00103037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A90F36">
        <w:rPr>
          <w:rFonts w:ascii="Times New Roman" w:hAnsi="Times New Roman" w:cs="Times New Roman"/>
          <w:sz w:val="24"/>
          <w:szCs w:val="24"/>
        </w:rPr>
        <w:t>menyerahkan salinan penetapan Pengadilan Agama kepada yang</w:t>
      </w:r>
      <w:r w:rsidR="00103037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A90F36">
        <w:rPr>
          <w:rFonts w:ascii="Times New Roman" w:hAnsi="Times New Roman" w:cs="Times New Roman"/>
          <w:sz w:val="24"/>
          <w:szCs w:val="24"/>
        </w:rPr>
        <w:t>b</w:t>
      </w:r>
      <w:r w:rsidR="009D0E12" w:rsidRPr="00A90F36">
        <w:rPr>
          <w:rFonts w:ascii="Times New Roman" w:hAnsi="Times New Roman" w:cs="Times New Roman"/>
          <w:sz w:val="24"/>
          <w:szCs w:val="24"/>
        </w:rPr>
        <w:t>erkepentingan, menerima memori/</w:t>
      </w:r>
      <w:r w:rsidR="00554EB3" w:rsidRPr="00A90F36">
        <w:rPr>
          <w:rFonts w:ascii="Times New Roman" w:hAnsi="Times New Roman" w:cs="Times New Roman"/>
          <w:sz w:val="24"/>
          <w:szCs w:val="24"/>
        </w:rPr>
        <w:t>kontra memori banding, memori</w:t>
      </w:r>
      <w:r w:rsidRPr="00A90F36">
        <w:rPr>
          <w:rFonts w:ascii="Times New Roman" w:hAnsi="Times New Roman" w:cs="Times New Roman"/>
          <w:sz w:val="24"/>
          <w:szCs w:val="24"/>
        </w:rPr>
        <w:t xml:space="preserve"> atau kontra memori kasasi, jawaban atau </w:t>
      </w:r>
      <w:r w:rsidR="00554EB3" w:rsidRPr="00A90F36">
        <w:rPr>
          <w:rFonts w:ascii="Times New Roman" w:hAnsi="Times New Roman" w:cs="Times New Roman"/>
          <w:sz w:val="24"/>
          <w:szCs w:val="24"/>
        </w:rPr>
        <w:t>tanggapan peninjauan kembali dan lain</w:t>
      </w:r>
      <w:r w:rsidR="009E302D" w:rsidRPr="00A90F36">
        <w:rPr>
          <w:rFonts w:ascii="Times New Roman" w:hAnsi="Times New Roman" w:cs="Times New Roman"/>
          <w:sz w:val="24"/>
          <w:szCs w:val="24"/>
        </w:rPr>
        <w:t>-</w:t>
      </w:r>
      <w:r w:rsidR="00554EB3" w:rsidRPr="00A90F36">
        <w:rPr>
          <w:rFonts w:ascii="Times New Roman" w:hAnsi="Times New Roman" w:cs="Times New Roman"/>
          <w:sz w:val="24"/>
          <w:szCs w:val="24"/>
        </w:rPr>
        <w:t>lain,</w:t>
      </w:r>
      <w:r w:rsidR="00103037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9D0E12" w:rsidRPr="00A90F36">
        <w:rPr>
          <w:rFonts w:ascii="Times New Roman" w:hAnsi="Times New Roman" w:cs="Times New Roman"/>
          <w:sz w:val="24"/>
          <w:szCs w:val="24"/>
        </w:rPr>
        <w:t>menyusun</w:t>
      </w:r>
      <w:r w:rsidR="00A90F36">
        <w:rPr>
          <w:rFonts w:ascii="Times New Roman" w:hAnsi="Times New Roman" w:cs="Times New Roman"/>
          <w:sz w:val="24"/>
          <w:szCs w:val="24"/>
        </w:rPr>
        <w:t xml:space="preserve"> atau menjahit atau </w:t>
      </w:r>
      <w:r w:rsidR="00554EB3" w:rsidRPr="00A90F36">
        <w:rPr>
          <w:rFonts w:ascii="Times New Roman" w:hAnsi="Times New Roman" w:cs="Times New Roman"/>
          <w:sz w:val="24"/>
          <w:szCs w:val="24"/>
        </w:rPr>
        <w:t>mempersiapkan berkas. Pelaksanaan tugas</w:t>
      </w:r>
      <w:r w:rsidR="009E302D" w:rsidRPr="00A90F36">
        <w:rPr>
          <w:rFonts w:ascii="Times New Roman" w:hAnsi="Times New Roman" w:cs="Times New Roman"/>
          <w:sz w:val="24"/>
          <w:szCs w:val="24"/>
        </w:rPr>
        <w:t>-</w:t>
      </w:r>
      <w:r w:rsidR="00554EB3" w:rsidRPr="00A90F36">
        <w:rPr>
          <w:rFonts w:ascii="Times New Roman" w:hAnsi="Times New Roman" w:cs="Times New Roman"/>
          <w:sz w:val="24"/>
          <w:szCs w:val="24"/>
        </w:rPr>
        <w:t>tugas</w:t>
      </w:r>
      <w:r w:rsidR="003E430B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A90F36">
        <w:rPr>
          <w:rFonts w:ascii="Times New Roman" w:hAnsi="Times New Roman" w:cs="Times New Roman"/>
          <w:sz w:val="24"/>
          <w:szCs w:val="24"/>
        </w:rPr>
        <w:t>Meja I, Meja II, Meja III dilakukan oleh Sub Kepaniteraan Perkara</w:t>
      </w:r>
      <w:r w:rsidR="00103037" w:rsidRPr="00A90F36">
        <w:rPr>
          <w:rFonts w:ascii="Times New Roman" w:hAnsi="Times New Roman" w:cs="Times New Roman"/>
          <w:sz w:val="24"/>
          <w:szCs w:val="24"/>
        </w:rPr>
        <w:t xml:space="preserve"> </w:t>
      </w:r>
      <w:r w:rsidR="00554EB3" w:rsidRPr="00A90F36">
        <w:rPr>
          <w:rFonts w:ascii="Times New Roman" w:hAnsi="Times New Roman" w:cs="Times New Roman"/>
          <w:sz w:val="24"/>
          <w:szCs w:val="24"/>
        </w:rPr>
        <w:t>dan berada langsung di ba</w:t>
      </w:r>
      <w:r w:rsidR="00D243F6" w:rsidRPr="00A90F36">
        <w:rPr>
          <w:rFonts w:ascii="Times New Roman" w:hAnsi="Times New Roman" w:cs="Times New Roman"/>
          <w:sz w:val="24"/>
          <w:szCs w:val="24"/>
        </w:rPr>
        <w:t>wah pengamatan Wakil Panitera.</w:t>
      </w:r>
      <w:r w:rsidR="00D243F6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:rsidR="00423C0F" w:rsidRPr="005F7ED8" w:rsidRDefault="00423C0F" w:rsidP="005F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0F" w:rsidRPr="00B43CB2" w:rsidRDefault="00554EB3" w:rsidP="00B43C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C">
        <w:rPr>
          <w:rFonts w:ascii="Times New Roman" w:hAnsi="Times New Roman" w:cs="Times New Roman"/>
          <w:b/>
          <w:sz w:val="24"/>
          <w:szCs w:val="24"/>
        </w:rPr>
        <w:t>Proses pemeriksaan perkara dalam persidangan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24">
        <w:rPr>
          <w:rFonts w:ascii="Times New Roman" w:hAnsi="Times New Roman" w:cs="Times New Roman"/>
          <w:sz w:val="24"/>
          <w:szCs w:val="24"/>
        </w:rPr>
        <w:t>Proses pemeriksaan perkara perdata di depan sidang dilakukan</w:t>
      </w:r>
      <w:r w:rsidR="00103037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melalui tahap-tahap dalam hukum perdata, setelah hakim terlebih dahulu</w:t>
      </w:r>
      <w:r w:rsidR="00097AA1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berusaha dan tidak berhasil mendamaikan para pihak yang bersengketa.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="002857EE">
        <w:rPr>
          <w:rFonts w:ascii="Times New Roman" w:hAnsi="Times New Roman" w:cs="Times New Roman"/>
          <w:sz w:val="24"/>
          <w:szCs w:val="24"/>
        </w:rPr>
        <w:t xml:space="preserve">Menurut A. Mukti Arto </w:t>
      </w:r>
      <w:r w:rsidRPr="00554EB3">
        <w:rPr>
          <w:rFonts w:ascii="Times New Roman" w:hAnsi="Times New Roman" w:cs="Times New Roman"/>
          <w:sz w:val="24"/>
          <w:szCs w:val="24"/>
        </w:rPr>
        <w:t xml:space="preserve">tahap-tahap pemeriksaan </w:t>
      </w:r>
      <w:r w:rsidR="002857EE">
        <w:rPr>
          <w:rFonts w:ascii="Times New Roman" w:hAnsi="Times New Roman" w:cs="Times New Roman"/>
          <w:sz w:val="24"/>
          <w:szCs w:val="24"/>
        </w:rPr>
        <w:t>perkara tersebut yaitu</w:t>
      </w:r>
      <w:r w:rsidRPr="00554EB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Upaya perdamaian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sidang upaya perdamaian, maka inisiatif perdamaian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dapat timbul dari hakim, penggugat ataupun tergugat. Hakim harus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secara aktif dan s</w:t>
      </w:r>
      <w:r w:rsidR="00374969" w:rsidRPr="00EA14DF">
        <w:rPr>
          <w:rFonts w:ascii="Times New Roman" w:hAnsi="Times New Roman" w:cs="Times New Roman"/>
          <w:sz w:val="24"/>
          <w:szCs w:val="24"/>
        </w:rPr>
        <w:t>ungguh-sungguh</w:t>
      </w:r>
      <w:r w:rsidRPr="00EA14DF">
        <w:rPr>
          <w:rFonts w:ascii="Times New Roman" w:hAnsi="Times New Roman" w:cs="Times New Roman"/>
          <w:sz w:val="24"/>
          <w:szCs w:val="24"/>
        </w:rPr>
        <w:t xml:space="preserve"> mendamaikan para pihak. Ap</w:t>
      </w:r>
      <w:r w:rsidR="00021331" w:rsidRPr="00EA14DF">
        <w:rPr>
          <w:rFonts w:ascii="Times New Roman" w:hAnsi="Times New Roman" w:cs="Times New Roman"/>
          <w:sz w:val="24"/>
          <w:szCs w:val="24"/>
        </w:rPr>
        <w:t>a</w:t>
      </w:r>
      <w:r w:rsidRPr="00EA14DF">
        <w:rPr>
          <w:rFonts w:ascii="Times New Roman" w:hAnsi="Times New Roman" w:cs="Times New Roman"/>
          <w:sz w:val="24"/>
          <w:szCs w:val="24"/>
        </w:rPr>
        <w:t>bila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ternyata upaya damai tidak berhasil, maka sidang dapat dilanjutkan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ketahap pembacaan gugatan.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Pembacaan gugatan.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pembacaan gugatan, maka pihak penggugat berhak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meneliti ulang apakah seluruh materi (dalil gugat dan petitum) sudah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 xml:space="preserve">benar </w:t>
      </w:r>
      <w:r w:rsidRPr="00EA14DF">
        <w:rPr>
          <w:rFonts w:ascii="Times New Roman" w:hAnsi="Times New Roman" w:cs="Times New Roman"/>
          <w:sz w:val="24"/>
          <w:szCs w:val="24"/>
        </w:rPr>
        <w:lastRenderedPageBreak/>
        <w:t>dan lengkap. Hal-hal yang tercantum dalam surat gugat itulah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yang menjadi acuan (obyek) pemeriksaan dan pemeriksaan tidak boleh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keluar dari ruang lingkup yang termuat dalam surat gugatan.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Jawaban tergugat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 xml:space="preserve">Pada tahap replik, penggugat </w:t>
      </w:r>
      <w:r w:rsidR="00605D76" w:rsidRPr="00EA14DF">
        <w:rPr>
          <w:rFonts w:ascii="Times New Roman" w:hAnsi="Times New Roman" w:cs="Times New Roman"/>
          <w:sz w:val="24"/>
          <w:szCs w:val="24"/>
        </w:rPr>
        <w:t xml:space="preserve">tergugat </w:t>
      </w:r>
      <w:r w:rsidRPr="00EA14DF">
        <w:rPr>
          <w:rFonts w:ascii="Times New Roman" w:hAnsi="Times New Roman" w:cs="Times New Roman"/>
          <w:sz w:val="24"/>
          <w:szCs w:val="24"/>
        </w:rPr>
        <w:t>diberi kesempatan untuk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membela diri dan mengajukan segala kepentingannya terhadap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Penggugat melalui hakim.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Replik penggugat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replik, Penggugat dapat menegaskan kembali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gugatannya yang disangkal oleh tergugat dan juga mempertahankan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diri atas serangan-serangan oleh tergugat.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Duplik tergugat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duplik, maka tergugat dapat menjelaskan kembali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jawabannya yang disangkal oleh penggugat. Replik dan duplik dapat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diulang-ulang sehingga hakim memandang cukup untuk itu yang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kemudian dilanjutkan pembuktian.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Pembuktian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pembuktian, maka penggugat mengajukan semua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alat-alat bukti untuk mendukung dalil-dalil gugat. Demikian pula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tergugat juga mengajukan alat-alat bukti untuk mendukung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jawabannya (sanggahannya). Masing-masing pihak berhak menilai alat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bukti pihak lawannya.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Kesimpulan</w:t>
      </w:r>
    </w:p>
    <w:p w:rsid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kesimpulan, maka masing-masing pihak (Penggugat</w:t>
      </w:r>
      <w:r w:rsidR="0071039C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dan Tergugat) mengajukan pendapat akhir tentang hasil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pemeriksaan.</w:t>
      </w:r>
    </w:p>
    <w:p w:rsidR="00EA14DF" w:rsidRDefault="00554EB3" w:rsidP="00EA14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Putusan haki</w:t>
      </w:r>
      <w:r w:rsidR="00EA14DF">
        <w:rPr>
          <w:rFonts w:ascii="Times New Roman" w:hAnsi="Times New Roman" w:cs="Times New Roman"/>
          <w:sz w:val="24"/>
          <w:szCs w:val="24"/>
        </w:rPr>
        <w:t>m</w:t>
      </w:r>
    </w:p>
    <w:p w:rsidR="00CA77E9" w:rsidRPr="00EA14DF" w:rsidRDefault="00554EB3" w:rsidP="00EA14DF">
      <w:pPr>
        <w:pStyle w:val="ListParagraph"/>
        <w:autoSpaceDE w:val="0"/>
        <w:autoSpaceDN w:val="0"/>
        <w:adjustRightInd w:val="0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Pada tahap putusan, maka hakim menyampaikan segala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pendapatnya tentang perkara itu dan menyimpulkan dalam amar</w:t>
      </w:r>
      <w:r w:rsidR="0079631B" w:rsidRPr="00EA14DF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putusan. Putusan ha</w:t>
      </w:r>
      <w:r w:rsidR="00943E82" w:rsidRPr="00EA14DF">
        <w:rPr>
          <w:rFonts w:ascii="Times New Roman" w:hAnsi="Times New Roman" w:cs="Times New Roman"/>
          <w:sz w:val="24"/>
          <w:szCs w:val="24"/>
        </w:rPr>
        <w:t>kim untuk mengakhiri sengketa.</w:t>
      </w:r>
      <w:r w:rsidR="00943E82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:rsidR="00CA77E9" w:rsidRDefault="00CA77E9" w:rsidP="00CA77E9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29BD" w:rsidRPr="007629BD" w:rsidRDefault="00554EB3" w:rsidP="006A45FD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Setelah majelis membacakan putusan kemudian majelis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memberi penjelasan atau kesempatan kepada para pihak dalam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tenggang waktu 14 hari</w:t>
      </w:r>
      <w:r w:rsidR="004222FD">
        <w:rPr>
          <w:rFonts w:ascii="Times New Roman" w:hAnsi="Times New Roman" w:cs="Times New Roman"/>
          <w:sz w:val="24"/>
          <w:szCs w:val="24"/>
        </w:rPr>
        <w:t xml:space="preserve"> untuk menggunakan upaya hukum. </w:t>
      </w:r>
      <w:r w:rsidRPr="00554EB3">
        <w:rPr>
          <w:rFonts w:ascii="Times New Roman" w:hAnsi="Times New Roman" w:cs="Times New Roman"/>
          <w:sz w:val="24"/>
          <w:szCs w:val="24"/>
        </w:rPr>
        <w:t>Apabila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kesempatan upaya hukum tersebut tidak dipergunakan maka putusan</w:t>
      </w:r>
      <w:r w:rsidR="00C461BE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telah mempunyai kekuatan hukum tetap.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Dalam pasal 84 Undang-undang N0 7 tahun 1989 dijelaskan bahwa:</w:t>
      </w:r>
    </w:p>
    <w:p w:rsidR="00943E82" w:rsidRDefault="00554EB3" w:rsidP="001206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lastRenderedPageBreak/>
        <w:t>Panitera pengadilan atau pejabat pengadilan yang ditunjuk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berkewajiban selambat-lambatnya 30 hari mengirimkan satu helai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salinan putusan pengadilan yang telah memperoleh kekuatan hukum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tetap, tanpa bermaterai kepada Pegawai Pencatat Nikah yang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wilayahnya meliputi tempat kediaman penggugat dan tergugat, untuk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mendaftarkan putusan perceraian dalam sebuah daftar yang</w:t>
      </w:r>
      <w:r w:rsidR="0079631B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disediakan untuk itu.</w:t>
      </w:r>
    </w:p>
    <w:p w:rsidR="00943E82" w:rsidRDefault="00554EB3" w:rsidP="001206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E82">
        <w:rPr>
          <w:rFonts w:ascii="Times New Roman" w:hAnsi="Times New Roman" w:cs="Times New Roman"/>
          <w:sz w:val="24"/>
          <w:szCs w:val="24"/>
        </w:rPr>
        <w:t>Apabila perceraian dilakukan di wilayah yang berbeda dengan wilayah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yang berbeda dengan wilayah Pegawai Pencatat Nikah tempat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perkawainan dilangsungkan maka satu helai salinan putusan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sebagaimana yang dimaksud dalam ayat (1) yang telah memperoleh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kekuatan hukum tetap tanpa bermaterai dikirimkan pula kepada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Pegawai Pencatat Nikah (PPN) di tempat perkawinan dilangsungkan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dan oleh PPN tersebut dicatat pada bagian pinggir daftar catatan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perkawinan.</w:t>
      </w:r>
    </w:p>
    <w:p w:rsidR="00943E82" w:rsidRDefault="00554EB3" w:rsidP="001206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E82">
        <w:rPr>
          <w:rFonts w:ascii="Times New Roman" w:hAnsi="Times New Roman" w:cs="Times New Roman"/>
          <w:sz w:val="24"/>
          <w:szCs w:val="24"/>
        </w:rPr>
        <w:t>Apabila perkawinan dila</w:t>
      </w:r>
      <w:r w:rsidR="00E24F1A">
        <w:rPr>
          <w:rFonts w:ascii="Times New Roman" w:hAnsi="Times New Roman" w:cs="Times New Roman"/>
          <w:sz w:val="24"/>
          <w:szCs w:val="24"/>
        </w:rPr>
        <w:t>n</w:t>
      </w:r>
      <w:r w:rsidRPr="00943E82">
        <w:rPr>
          <w:rFonts w:ascii="Times New Roman" w:hAnsi="Times New Roman" w:cs="Times New Roman"/>
          <w:sz w:val="24"/>
          <w:szCs w:val="24"/>
        </w:rPr>
        <w:t>gsungkan diluar negeri maka satu helai salinan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putusan sebagaimana di maksud dalam ayat (1) disampaikan pula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kepada Pegawai Pencatat Nikah di tempat di daftarkannya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perkawinan mereka di Indonesia.</w:t>
      </w:r>
    </w:p>
    <w:p w:rsidR="007629BD" w:rsidRDefault="00554EB3" w:rsidP="00995F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3E82">
        <w:rPr>
          <w:rFonts w:ascii="Times New Roman" w:hAnsi="Times New Roman" w:cs="Times New Roman"/>
          <w:sz w:val="24"/>
          <w:szCs w:val="24"/>
        </w:rPr>
        <w:t>Panitera berkewajiban memberikan akta cerai sebagai surat bukti cerai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kepada para pihak selambat-lambatnya 7 hari terhitung setelah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943E82">
        <w:rPr>
          <w:rFonts w:ascii="Times New Roman" w:hAnsi="Times New Roman" w:cs="Times New Roman"/>
          <w:sz w:val="24"/>
          <w:szCs w:val="24"/>
        </w:rPr>
        <w:t>putusan yang diperoleh kekuatan hukum tetap tersebut diberitahukan</w:t>
      </w:r>
      <w:r w:rsidR="00943E82">
        <w:rPr>
          <w:rFonts w:ascii="Times New Roman" w:hAnsi="Times New Roman" w:cs="Times New Roman"/>
          <w:sz w:val="24"/>
          <w:szCs w:val="24"/>
        </w:rPr>
        <w:t xml:space="preserve"> kepada para pihak.</w:t>
      </w:r>
      <w:r w:rsidR="00943E82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</w:p>
    <w:p w:rsidR="00995F6B" w:rsidRPr="00243D1C" w:rsidRDefault="00995F6B" w:rsidP="007629BD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900A0" w:rsidRDefault="00554EB3" w:rsidP="00E90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0A0">
        <w:rPr>
          <w:rFonts w:ascii="Times New Roman" w:hAnsi="Times New Roman" w:cs="Times New Roman"/>
          <w:b/>
          <w:bCs/>
          <w:sz w:val="24"/>
          <w:szCs w:val="24"/>
        </w:rPr>
        <w:t xml:space="preserve">Peradilan </w:t>
      </w:r>
      <w:r w:rsidR="00917B00" w:rsidRPr="00E900A0">
        <w:rPr>
          <w:rFonts w:ascii="Times New Roman" w:hAnsi="Times New Roman" w:cs="Times New Roman"/>
          <w:b/>
          <w:bCs/>
          <w:sz w:val="24"/>
          <w:szCs w:val="24"/>
        </w:rPr>
        <w:t>Secara</w:t>
      </w:r>
      <w:r w:rsidR="00DF0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18C">
        <w:rPr>
          <w:rFonts w:ascii="Times New Roman" w:hAnsi="Times New Roman" w:cs="Times New Roman"/>
          <w:b/>
          <w:bCs/>
          <w:sz w:val="24"/>
          <w:szCs w:val="24"/>
        </w:rPr>
        <w:t>Sederhana, cepat dan biaya ringan</w:t>
      </w:r>
      <w:r w:rsidR="00DF0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00" w:rsidRPr="00E900A0">
        <w:rPr>
          <w:rFonts w:ascii="Times New Roman" w:hAnsi="Times New Roman" w:cs="Times New Roman"/>
          <w:b/>
          <w:bCs/>
          <w:sz w:val="24"/>
          <w:szCs w:val="24"/>
        </w:rPr>
        <w:t xml:space="preserve">Dalam </w:t>
      </w:r>
      <w:r w:rsidR="007439C8" w:rsidRPr="00E900A0">
        <w:rPr>
          <w:rFonts w:ascii="Times New Roman" w:hAnsi="Times New Roman" w:cs="Times New Roman"/>
          <w:b/>
          <w:bCs/>
          <w:sz w:val="24"/>
          <w:szCs w:val="24"/>
        </w:rPr>
        <w:t>Pandangan</w:t>
      </w:r>
      <w:r w:rsidR="00DF0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0A0">
        <w:rPr>
          <w:rFonts w:ascii="Times New Roman" w:hAnsi="Times New Roman" w:cs="Times New Roman"/>
          <w:b/>
          <w:bCs/>
          <w:sz w:val="24"/>
          <w:szCs w:val="24"/>
        </w:rPr>
        <w:t>Islam</w:t>
      </w:r>
    </w:p>
    <w:p w:rsidR="00434552" w:rsidRDefault="00554EB3" w:rsidP="005C7490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A0">
        <w:rPr>
          <w:rFonts w:ascii="Times New Roman" w:hAnsi="Times New Roman" w:cs="Times New Roman"/>
          <w:sz w:val="24"/>
          <w:szCs w:val="24"/>
        </w:rPr>
        <w:t>Setelah Islam datang dan Allah SWT</w:t>
      </w:r>
      <w:r w:rsidR="00DF05E6">
        <w:rPr>
          <w:rFonts w:ascii="Times New Roman" w:hAnsi="Times New Roman" w:cs="Times New Roman"/>
          <w:sz w:val="24"/>
          <w:szCs w:val="24"/>
        </w:rPr>
        <w:t xml:space="preserve"> memerintahkan Nabi</w:t>
      </w:r>
      <w:r w:rsidR="004A5A77">
        <w:rPr>
          <w:rFonts w:ascii="Times New Roman" w:hAnsi="Times New Roman" w:cs="Times New Roman"/>
          <w:sz w:val="24"/>
          <w:szCs w:val="24"/>
        </w:rPr>
        <w:t xml:space="preserve"> </w:t>
      </w:r>
      <w:r w:rsidR="00DF05E6">
        <w:rPr>
          <w:rFonts w:ascii="Times New Roman" w:hAnsi="Times New Roman" w:cs="Times New Roman"/>
          <w:sz w:val="24"/>
          <w:szCs w:val="24"/>
        </w:rPr>
        <w:t xml:space="preserve">Muhammad Saw </w:t>
      </w:r>
      <w:r w:rsidRPr="00E900A0">
        <w:rPr>
          <w:rFonts w:ascii="Times New Roman" w:hAnsi="Times New Roman" w:cs="Times New Roman"/>
          <w:sz w:val="24"/>
          <w:szCs w:val="24"/>
        </w:rPr>
        <w:t>agar menyampaikan menyampaikan risalah, maka Ia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E900A0">
        <w:rPr>
          <w:rFonts w:ascii="Times New Roman" w:hAnsi="Times New Roman" w:cs="Times New Roman"/>
          <w:sz w:val="24"/>
          <w:szCs w:val="24"/>
        </w:rPr>
        <w:t>memerintahkan juga agar Nabi Muhammad SAW menyelesaikan segala</w:t>
      </w:r>
      <w:r w:rsidR="00E900A0">
        <w:rPr>
          <w:rFonts w:ascii="Times New Roman" w:hAnsi="Times New Roman" w:cs="Times New Roman"/>
          <w:sz w:val="24"/>
          <w:szCs w:val="24"/>
        </w:rPr>
        <w:t xml:space="preserve"> sengketa yang timbul.</w:t>
      </w:r>
      <w:r w:rsidR="00434552">
        <w:rPr>
          <w:rFonts w:ascii="Times New Roman" w:hAnsi="Times New Roman" w:cs="Times New Roman"/>
          <w:sz w:val="24"/>
          <w:szCs w:val="24"/>
        </w:rPr>
        <w:t xml:space="preserve"> Dalam hal ini dijelaskan dalam firman-Nya dalam surat An-Nisa 4/65:</w:t>
      </w:r>
    </w:p>
    <w:p w:rsidR="00E67D6B" w:rsidRPr="005C7490" w:rsidRDefault="00E67D6B" w:rsidP="005C7490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52" w:rsidRPr="00434552" w:rsidRDefault="00434552" w:rsidP="005C7490">
      <w:pPr>
        <w:autoSpaceDE w:val="0"/>
        <w:autoSpaceDN w:val="0"/>
        <w:bidi/>
        <w:adjustRightInd w:val="0"/>
        <w:spacing w:after="0"/>
        <w:ind w:left="-1"/>
        <w:jc w:val="both"/>
        <w:rPr>
          <w:rFonts w:ascii="(normal text)" w:hAnsi="(normal text)"/>
        </w:rPr>
      </w:pPr>
      <w:r>
        <w:rPr>
          <w:sz w:val="28"/>
          <w:szCs w:val="28"/>
        </w:rPr>
        <w:lastRenderedPageBreak/>
        <w:sym w:font="HQPB5" w:char="F09F"/>
      </w:r>
      <w:r w:rsidR="00C461BE">
        <w:rPr>
          <w:sz w:val="28"/>
          <w:szCs w:val="28"/>
        </w:rPr>
        <w:sym w:font="HQPB5" w:char="F09F"/>
      </w:r>
      <w:r w:rsidR="00C461BE">
        <w:rPr>
          <w:sz w:val="28"/>
          <w:szCs w:val="28"/>
        </w:rPr>
        <w:sym w:font="HQPB2" w:char="F078"/>
      </w:r>
      <w:r w:rsidR="00C461BE">
        <w:rPr>
          <w:sz w:val="28"/>
          <w:szCs w:val="28"/>
        </w:rPr>
        <w:sym w:font="HQPB5" w:char="F073"/>
      </w:r>
      <w:r w:rsidR="00C461BE">
        <w:rPr>
          <w:sz w:val="28"/>
          <w:szCs w:val="28"/>
        </w:rPr>
        <w:sym w:font="HQPB1" w:char="F0F9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2" w:char="F037"/>
      </w:r>
      <w:r w:rsidR="00C461BE">
        <w:rPr>
          <w:sz w:val="28"/>
          <w:szCs w:val="28"/>
        </w:rPr>
        <w:sym w:font="HQPB4" w:char="F0CE"/>
      </w:r>
      <w:r w:rsidR="00C461BE">
        <w:rPr>
          <w:sz w:val="28"/>
          <w:szCs w:val="28"/>
        </w:rPr>
        <w:sym w:font="HQPB4" w:char="F06E"/>
      </w:r>
      <w:r w:rsidR="00C461BE">
        <w:rPr>
          <w:sz w:val="28"/>
          <w:szCs w:val="28"/>
        </w:rPr>
        <w:sym w:font="HQPB1" w:char="F02F"/>
      </w:r>
      <w:r w:rsidR="00C461BE">
        <w:rPr>
          <w:sz w:val="28"/>
          <w:szCs w:val="28"/>
        </w:rPr>
        <w:sym w:font="HQPB5" w:char="F075"/>
      </w:r>
      <w:r w:rsidR="00C461BE">
        <w:rPr>
          <w:sz w:val="28"/>
          <w:szCs w:val="28"/>
        </w:rPr>
        <w:sym w:font="HQPB1" w:char="F091"/>
      </w:r>
      <w:r w:rsidR="00C461BE">
        <w:rPr>
          <w:sz w:val="28"/>
          <w:szCs w:val="28"/>
        </w:rPr>
        <w:sym w:font="HQPB5" w:char="F075"/>
      </w:r>
      <w:r w:rsidR="00C461BE">
        <w:rPr>
          <w:sz w:val="28"/>
          <w:szCs w:val="28"/>
        </w:rPr>
        <w:sym w:font="HQPB2" w:char="F072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9F"/>
      </w:r>
      <w:r w:rsidR="00C461BE">
        <w:rPr>
          <w:sz w:val="28"/>
          <w:szCs w:val="28"/>
        </w:rPr>
        <w:sym w:font="HQPB2" w:char="F077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9A"/>
      </w:r>
      <w:r w:rsidR="00C461BE">
        <w:rPr>
          <w:sz w:val="28"/>
          <w:szCs w:val="28"/>
        </w:rPr>
        <w:sym w:font="HQPB2" w:char="F063"/>
      </w:r>
      <w:r w:rsidR="00C461BE">
        <w:rPr>
          <w:sz w:val="28"/>
          <w:szCs w:val="28"/>
        </w:rPr>
        <w:sym w:font="HQPB2" w:char="F071"/>
      </w:r>
      <w:r w:rsidR="00C461BE">
        <w:rPr>
          <w:sz w:val="28"/>
          <w:szCs w:val="28"/>
        </w:rPr>
        <w:sym w:font="HQPB4" w:char="F0E3"/>
      </w:r>
      <w:r w:rsidR="00C461BE">
        <w:rPr>
          <w:sz w:val="28"/>
          <w:szCs w:val="28"/>
        </w:rPr>
        <w:sym w:font="HQPB2" w:char="F059"/>
      </w:r>
      <w:r w:rsidR="00C461BE">
        <w:rPr>
          <w:sz w:val="28"/>
          <w:szCs w:val="28"/>
        </w:rPr>
        <w:sym w:font="HQPB4" w:char="F0CF"/>
      </w:r>
      <w:r w:rsidR="00C461BE">
        <w:rPr>
          <w:sz w:val="28"/>
          <w:szCs w:val="28"/>
        </w:rPr>
        <w:sym w:font="HQPB2" w:char="F042"/>
      </w:r>
      <w:r w:rsidR="00C461BE">
        <w:rPr>
          <w:sz w:val="28"/>
          <w:szCs w:val="28"/>
        </w:rPr>
        <w:sym w:font="HQPB4" w:char="F0F7"/>
      </w:r>
      <w:r w:rsidR="00C461BE">
        <w:rPr>
          <w:sz w:val="28"/>
          <w:szCs w:val="28"/>
        </w:rPr>
        <w:sym w:font="HQPB2" w:char="F073"/>
      </w:r>
      <w:r w:rsidR="00C461BE">
        <w:rPr>
          <w:sz w:val="28"/>
          <w:szCs w:val="28"/>
        </w:rPr>
        <w:sym w:font="HQPB4" w:char="F0E3"/>
      </w:r>
      <w:r w:rsidR="00C461BE">
        <w:rPr>
          <w:sz w:val="28"/>
          <w:szCs w:val="28"/>
        </w:rPr>
        <w:sym w:font="HQPB2" w:char="F083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34"/>
      </w:r>
      <w:r w:rsidR="00C461BE">
        <w:rPr>
          <w:sz w:val="28"/>
          <w:szCs w:val="28"/>
        </w:rPr>
        <w:sym w:font="HQPB2" w:char="F0D3"/>
      </w:r>
      <w:r w:rsidR="00C461BE">
        <w:rPr>
          <w:sz w:val="28"/>
          <w:szCs w:val="28"/>
        </w:rPr>
        <w:sym w:font="HQPB4" w:char="F0AE"/>
      </w:r>
      <w:r w:rsidR="00C461BE">
        <w:rPr>
          <w:sz w:val="28"/>
          <w:szCs w:val="28"/>
        </w:rPr>
        <w:sym w:font="HQPB1" w:char="F04C"/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1" w:char="F06D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78"/>
      </w:r>
      <w:r w:rsidR="00C461BE">
        <w:rPr>
          <w:sz w:val="28"/>
          <w:szCs w:val="28"/>
        </w:rPr>
        <w:sym w:font="HQPB2" w:char="F038"/>
      </w:r>
      <w:r w:rsidR="00C461BE">
        <w:rPr>
          <w:sz w:val="28"/>
          <w:szCs w:val="28"/>
        </w:rPr>
        <w:sym w:font="HQPB2" w:char="F071"/>
      </w:r>
      <w:r w:rsidR="00C461BE">
        <w:rPr>
          <w:sz w:val="28"/>
          <w:szCs w:val="28"/>
        </w:rPr>
        <w:sym w:font="HQPB4" w:char="F0DF"/>
      </w:r>
      <w:r w:rsidR="00C461BE">
        <w:rPr>
          <w:sz w:val="28"/>
          <w:szCs w:val="28"/>
        </w:rPr>
        <w:sym w:font="HQPB2" w:char="F04A"/>
      </w:r>
      <w:r w:rsidR="00C461BE">
        <w:rPr>
          <w:sz w:val="28"/>
          <w:szCs w:val="28"/>
        </w:rPr>
        <w:sym w:font="HQPB4" w:char="F0C5"/>
      </w:r>
      <w:r w:rsidR="00C461BE">
        <w:rPr>
          <w:sz w:val="28"/>
          <w:szCs w:val="28"/>
        </w:rPr>
        <w:sym w:font="HQPB4" w:char="F06A"/>
      </w:r>
      <w:r w:rsidR="00C461BE">
        <w:rPr>
          <w:sz w:val="28"/>
          <w:szCs w:val="28"/>
        </w:rPr>
        <w:sym w:font="HQPB2" w:char="F033"/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1" w:char="F073"/>
      </w:r>
      <w:r w:rsidR="00C461BE">
        <w:rPr>
          <w:sz w:val="28"/>
          <w:szCs w:val="28"/>
        </w:rPr>
        <w:sym w:font="HQPB4" w:char="F0E3"/>
      </w:r>
      <w:r w:rsidR="00C461BE">
        <w:rPr>
          <w:sz w:val="28"/>
          <w:szCs w:val="28"/>
        </w:rPr>
        <w:sym w:font="HQPB2" w:char="F083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1" w:char="F024"/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2" w:char="F04A"/>
      </w:r>
      <w:r w:rsidR="00C461BE">
        <w:rPr>
          <w:sz w:val="28"/>
          <w:szCs w:val="28"/>
        </w:rPr>
        <w:sym w:font="HQPB2" w:char="F08A"/>
      </w:r>
      <w:r w:rsidR="00C461BE">
        <w:rPr>
          <w:sz w:val="28"/>
          <w:szCs w:val="28"/>
        </w:rPr>
        <w:sym w:font="HQPB4" w:char="F0CF"/>
      </w:r>
      <w:r w:rsidR="00C461BE">
        <w:rPr>
          <w:sz w:val="28"/>
          <w:szCs w:val="28"/>
        </w:rPr>
        <w:sym w:font="HQPB1" w:char="F0F9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74"/>
      </w:r>
      <w:r w:rsidR="00C461BE">
        <w:rPr>
          <w:sz w:val="28"/>
          <w:szCs w:val="28"/>
        </w:rPr>
        <w:sym w:font="HQPB1" w:char="F08D"/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1" w:char="F066"/>
      </w:r>
      <w:r w:rsidR="00C461BE">
        <w:rPr>
          <w:sz w:val="28"/>
          <w:szCs w:val="28"/>
        </w:rPr>
        <w:sym w:font="HQPB5" w:char="F078"/>
      </w:r>
      <w:r w:rsidR="00C461BE">
        <w:rPr>
          <w:sz w:val="28"/>
          <w:szCs w:val="28"/>
        </w:rPr>
        <w:sym w:font="HQPB1" w:char="F0A9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4" w:char="F0F3"/>
      </w:r>
      <w:r w:rsidR="00C461BE">
        <w:rPr>
          <w:sz w:val="28"/>
          <w:szCs w:val="28"/>
        </w:rPr>
        <w:sym w:font="HQPB2" w:char="F04F"/>
      </w:r>
      <w:r w:rsidR="00C461BE">
        <w:rPr>
          <w:sz w:val="28"/>
          <w:szCs w:val="28"/>
        </w:rPr>
        <w:sym w:font="HQPB4" w:char="F0DF"/>
      </w:r>
      <w:r w:rsidR="00C461BE">
        <w:rPr>
          <w:sz w:val="28"/>
          <w:szCs w:val="28"/>
        </w:rPr>
        <w:sym w:font="HQPB2" w:char="F067"/>
      </w:r>
      <w:r w:rsidR="00C461BE">
        <w:rPr>
          <w:sz w:val="28"/>
          <w:szCs w:val="28"/>
        </w:rPr>
        <w:sym w:font="HQPB5" w:char="F06F"/>
      </w:r>
      <w:r w:rsidR="00C461BE">
        <w:rPr>
          <w:sz w:val="28"/>
          <w:szCs w:val="28"/>
        </w:rPr>
        <w:sym w:font="HQPB2" w:char="F059"/>
      </w:r>
      <w:r w:rsidR="00C461BE">
        <w:rPr>
          <w:sz w:val="28"/>
          <w:szCs w:val="28"/>
        </w:rPr>
        <w:sym w:font="HQPB4" w:char="F0F7"/>
      </w:r>
      <w:r w:rsidR="00C461BE">
        <w:rPr>
          <w:sz w:val="28"/>
          <w:szCs w:val="28"/>
        </w:rPr>
        <w:sym w:font="HQPB2" w:char="F08F"/>
      </w:r>
      <w:r w:rsidR="00C461BE">
        <w:rPr>
          <w:sz w:val="28"/>
          <w:szCs w:val="28"/>
        </w:rPr>
        <w:sym w:font="HQPB5" w:char="F074"/>
      </w:r>
      <w:r w:rsidR="00C461BE">
        <w:rPr>
          <w:sz w:val="28"/>
          <w:szCs w:val="28"/>
        </w:rPr>
        <w:sym w:font="HQPB1" w:char="F02F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4" w:char="F0A7"/>
      </w:r>
      <w:r w:rsidR="00C461BE">
        <w:rPr>
          <w:sz w:val="28"/>
          <w:szCs w:val="28"/>
        </w:rPr>
        <w:sym w:font="HQPB2" w:char="F04E"/>
      </w:r>
      <w:r w:rsidR="00C461BE">
        <w:rPr>
          <w:sz w:val="28"/>
          <w:szCs w:val="28"/>
        </w:rPr>
        <w:sym w:font="HQPB4" w:char="F0E8"/>
      </w:r>
      <w:r w:rsidR="00C461BE">
        <w:rPr>
          <w:sz w:val="28"/>
          <w:szCs w:val="28"/>
        </w:rPr>
        <w:sym w:font="HQPB1" w:char="F04F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9F"/>
      </w:r>
      <w:r w:rsidR="00C461BE">
        <w:rPr>
          <w:sz w:val="28"/>
          <w:szCs w:val="28"/>
        </w:rPr>
        <w:sym w:font="HQPB2" w:char="F077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28"/>
      </w:r>
      <w:r w:rsidR="00C461BE">
        <w:rPr>
          <w:sz w:val="28"/>
          <w:szCs w:val="28"/>
        </w:rPr>
        <w:sym w:font="HQPB1" w:char="F023"/>
      </w:r>
      <w:r w:rsidR="00C461BE">
        <w:rPr>
          <w:sz w:val="28"/>
          <w:szCs w:val="28"/>
        </w:rPr>
        <w:sym w:font="HQPB2" w:char="F072"/>
      </w:r>
      <w:r w:rsidR="00C461BE">
        <w:rPr>
          <w:sz w:val="28"/>
          <w:szCs w:val="28"/>
        </w:rPr>
        <w:sym w:font="HQPB4" w:char="F0DF"/>
      </w:r>
      <w:r w:rsidR="00C461BE">
        <w:rPr>
          <w:sz w:val="28"/>
          <w:szCs w:val="28"/>
        </w:rPr>
        <w:sym w:font="HQPB1" w:char="F089"/>
      </w:r>
      <w:r w:rsidR="00C461BE">
        <w:rPr>
          <w:sz w:val="28"/>
          <w:szCs w:val="28"/>
        </w:rPr>
        <w:sym w:font="HQPB4" w:char="F0C5"/>
      </w:r>
      <w:r w:rsidR="00C461BE">
        <w:rPr>
          <w:sz w:val="28"/>
          <w:szCs w:val="28"/>
        </w:rPr>
        <w:sym w:font="HQPB1" w:char="F067"/>
      </w:r>
      <w:r w:rsidR="00C461BE">
        <w:rPr>
          <w:sz w:val="28"/>
          <w:szCs w:val="28"/>
        </w:rPr>
        <w:sym w:font="HQPB5" w:char="F073"/>
      </w:r>
      <w:r w:rsidR="00C461BE">
        <w:rPr>
          <w:sz w:val="28"/>
          <w:szCs w:val="28"/>
        </w:rPr>
        <w:sym w:font="HQPB2" w:char="F086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4" w:char="F0FE"/>
      </w:r>
      <w:r w:rsidR="00C461BE">
        <w:rPr>
          <w:sz w:val="28"/>
          <w:szCs w:val="28"/>
        </w:rPr>
        <w:sym w:font="HQPB2" w:char="F092"/>
      </w:r>
      <w:r w:rsidR="00C461BE">
        <w:rPr>
          <w:sz w:val="28"/>
          <w:szCs w:val="28"/>
        </w:rPr>
        <w:sym w:font="HQPB4" w:char="F0CE"/>
      </w:r>
      <w:r w:rsidR="00C461BE">
        <w:rPr>
          <w:sz w:val="28"/>
          <w:szCs w:val="28"/>
        </w:rPr>
        <w:sym w:font="HQPB1" w:char="F0FB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4" w:char="F0F6"/>
      </w:r>
      <w:r w:rsidR="00C461BE">
        <w:rPr>
          <w:sz w:val="28"/>
          <w:szCs w:val="28"/>
        </w:rPr>
        <w:sym w:font="HQPB2" w:char="F04E"/>
      </w:r>
      <w:r w:rsidR="00C461BE">
        <w:rPr>
          <w:sz w:val="28"/>
          <w:szCs w:val="28"/>
        </w:rPr>
        <w:sym w:font="HQPB4" w:char="F0CE"/>
      </w:r>
      <w:r w:rsidR="00C461BE">
        <w:rPr>
          <w:sz w:val="28"/>
          <w:szCs w:val="28"/>
        </w:rPr>
        <w:sym w:font="HQPB2" w:char="F068"/>
      </w:r>
      <w:r w:rsidR="00C461BE">
        <w:rPr>
          <w:sz w:val="28"/>
          <w:szCs w:val="28"/>
        </w:rPr>
        <w:sym w:font="HQPB4" w:char="F0C5"/>
      </w:r>
      <w:r w:rsidR="00C461BE">
        <w:rPr>
          <w:sz w:val="28"/>
          <w:szCs w:val="28"/>
        </w:rPr>
        <w:sym w:font="HQPB1" w:char="F0A1"/>
      </w:r>
      <w:r w:rsidR="00C461BE">
        <w:rPr>
          <w:sz w:val="28"/>
          <w:szCs w:val="28"/>
        </w:rPr>
        <w:sym w:font="HQPB4" w:char="F0E0"/>
      </w:r>
      <w:r w:rsidR="00C461BE">
        <w:rPr>
          <w:sz w:val="28"/>
          <w:szCs w:val="28"/>
        </w:rPr>
        <w:sym w:font="HQPB1" w:char="F0FF"/>
      </w:r>
      <w:r w:rsidR="00C461BE">
        <w:rPr>
          <w:sz w:val="28"/>
          <w:szCs w:val="28"/>
        </w:rPr>
        <w:sym w:font="HQPB2" w:char="F052"/>
      </w:r>
      <w:r w:rsidR="00C461BE">
        <w:rPr>
          <w:sz w:val="28"/>
          <w:szCs w:val="28"/>
        </w:rPr>
        <w:sym w:font="HQPB5" w:char="F072"/>
      </w:r>
      <w:r w:rsidR="00C461BE">
        <w:rPr>
          <w:sz w:val="28"/>
          <w:szCs w:val="28"/>
        </w:rPr>
        <w:sym w:font="HQPB1" w:char="F026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1" w:char="F025"/>
      </w:r>
      <w:r w:rsidR="00C461BE">
        <w:rPr>
          <w:sz w:val="28"/>
          <w:szCs w:val="28"/>
        </w:rPr>
        <w:sym w:font="HQPB4" w:char="F05B"/>
      </w:r>
      <w:r w:rsidR="00C461BE">
        <w:rPr>
          <w:sz w:val="28"/>
          <w:szCs w:val="28"/>
        </w:rPr>
        <w:sym w:font="HQPB1" w:char="F060"/>
      </w:r>
      <w:r w:rsidR="00C461BE">
        <w:rPr>
          <w:sz w:val="28"/>
          <w:szCs w:val="28"/>
        </w:rPr>
        <w:sym w:font="HQPB5" w:char="F074"/>
      </w:r>
      <w:r w:rsidR="00C461BE">
        <w:rPr>
          <w:sz w:val="28"/>
          <w:szCs w:val="28"/>
        </w:rPr>
        <w:sym w:font="HQPB1" w:char="F08D"/>
      </w:r>
      <w:r w:rsidR="00C461BE">
        <w:rPr>
          <w:sz w:val="28"/>
          <w:szCs w:val="28"/>
        </w:rPr>
        <w:sym w:font="HQPB5" w:char="F079"/>
      </w:r>
      <w:r w:rsidR="00C461BE">
        <w:rPr>
          <w:sz w:val="28"/>
          <w:szCs w:val="28"/>
        </w:rPr>
        <w:sym w:font="HQPB1" w:char="F06D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1" w:char="F024"/>
      </w:r>
      <w:r w:rsidR="00C461BE">
        <w:rPr>
          <w:sz w:val="28"/>
          <w:szCs w:val="28"/>
        </w:rPr>
        <w:sym w:font="HQPB4" w:char="F0A3"/>
      </w:r>
      <w:r w:rsidR="00C461BE">
        <w:rPr>
          <w:sz w:val="28"/>
          <w:szCs w:val="28"/>
        </w:rPr>
        <w:sym w:font="HQPB2" w:char="F04A"/>
      </w:r>
      <w:r w:rsidR="00C461BE">
        <w:rPr>
          <w:sz w:val="28"/>
          <w:szCs w:val="28"/>
        </w:rPr>
        <w:sym w:font="HQPB4" w:char="F0CF"/>
      </w:r>
      <w:r w:rsidR="00C461BE">
        <w:rPr>
          <w:sz w:val="28"/>
          <w:szCs w:val="28"/>
        </w:rPr>
        <w:sym w:font="HQPB4" w:char="F069"/>
      </w:r>
      <w:r w:rsidR="00C461BE">
        <w:rPr>
          <w:sz w:val="28"/>
          <w:szCs w:val="28"/>
        </w:rPr>
        <w:sym w:font="HQPB2" w:char="F042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7C"/>
      </w:r>
      <w:r w:rsidR="00C461BE">
        <w:rPr>
          <w:sz w:val="28"/>
          <w:szCs w:val="28"/>
        </w:rPr>
        <w:sym w:font="HQPB1" w:char="F04D"/>
      </w:r>
      <w:r w:rsidR="00C461BE">
        <w:rPr>
          <w:sz w:val="28"/>
          <w:szCs w:val="28"/>
        </w:rPr>
        <w:sym w:font="HQPB4" w:char="F0F8"/>
      </w:r>
      <w:r w:rsidR="00C461BE">
        <w:rPr>
          <w:sz w:val="28"/>
          <w:szCs w:val="28"/>
        </w:rPr>
        <w:sym w:font="HQPB2" w:char="F08A"/>
      </w:r>
      <w:r w:rsidR="00C461BE">
        <w:rPr>
          <w:sz w:val="28"/>
          <w:szCs w:val="28"/>
        </w:rPr>
        <w:sym w:font="HQPB5" w:char="F09F"/>
      </w:r>
      <w:r w:rsidR="00C461BE">
        <w:rPr>
          <w:sz w:val="28"/>
          <w:szCs w:val="28"/>
        </w:rPr>
        <w:sym w:font="HQPB1" w:char="F0D2"/>
      </w:r>
      <w:r w:rsidR="00C461BE">
        <w:rPr>
          <w:sz w:val="28"/>
          <w:szCs w:val="28"/>
        </w:rPr>
        <w:sym w:font="HQPB5" w:char="F073"/>
      </w:r>
      <w:r w:rsidR="00C461BE">
        <w:rPr>
          <w:sz w:val="28"/>
          <w:szCs w:val="28"/>
        </w:rPr>
        <w:sym w:font="HQPB2" w:char="F025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5" w:char="F028"/>
      </w:r>
      <w:r w:rsidR="00C461BE">
        <w:rPr>
          <w:sz w:val="28"/>
          <w:szCs w:val="28"/>
        </w:rPr>
        <w:sym w:font="HQPB1" w:char="F023"/>
      </w:r>
      <w:r w:rsidR="00C461BE">
        <w:rPr>
          <w:sz w:val="28"/>
          <w:szCs w:val="28"/>
        </w:rPr>
        <w:sym w:font="HQPB2" w:char="F071"/>
      </w:r>
      <w:r w:rsidR="00C461BE">
        <w:rPr>
          <w:sz w:val="28"/>
          <w:szCs w:val="28"/>
        </w:rPr>
        <w:sym w:font="HQPB4" w:char="F0DF"/>
      </w:r>
      <w:r w:rsidR="00C461BE">
        <w:rPr>
          <w:sz w:val="28"/>
          <w:szCs w:val="28"/>
        </w:rPr>
        <w:sym w:font="HQPB2" w:char="F04A"/>
      </w:r>
      <w:r w:rsidR="00C461BE">
        <w:rPr>
          <w:sz w:val="28"/>
          <w:szCs w:val="28"/>
        </w:rPr>
        <w:sym w:font="HQPB4" w:char="F0CF"/>
      </w:r>
      <w:r w:rsidR="00C461BE">
        <w:rPr>
          <w:sz w:val="28"/>
          <w:szCs w:val="28"/>
        </w:rPr>
        <w:sym w:font="HQPB4" w:char="F06B"/>
      </w:r>
      <w:r w:rsidR="00C461BE">
        <w:rPr>
          <w:sz w:val="28"/>
          <w:szCs w:val="28"/>
        </w:rPr>
        <w:sym w:font="HQPB2" w:char="F03D"/>
      </w:r>
      <w:r w:rsidR="00C461BE">
        <w:rPr>
          <w:sz w:val="28"/>
          <w:szCs w:val="28"/>
        </w:rPr>
        <w:sym w:font="HQPB5" w:char="F07C"/>
      </w:r>
      <w:r w:rsidR="00C461BE">
        <w:rPr>
          <w:sz w:val="28"/>
          <w:szCs w:val="28"/>
        </w:rPr>
        <w:sym w:font="HQPB1" w:char="F0A1"/>
      </w:r>
      <w:r w:rsidR="00C461BE">
        <w:rPr>
          <w:sz w:val="28"/>
          <w:szCs w:val="28"/>
        </w:rPr>
        <w:sym w:font="HQPB4" w:char="F0E7"/>
      </w:r>
      <w:r w:rsidR="00C461BE">
        <w:rPr>
          <w:sz w:val="28"/>
          <w:szCs w:val="28"/>
        </w:rPr>
        <w:sym w:font="HQPB2" w:char="F084"/>
      </w:r>
      <w:r w:rsidR="00C461BE">
        <w:rPr>
          <w:sz w:val="28"/>
          <w:szCs w:val="28"/>
        </w:rPr>
        <w:sym w:font="HQPB5" w:char="F075"/>
      </w:r>
      <w:r w:rsidR="00C461BE">
        <w:rPr>
          <w:sz w:val="28"/>
          <w:szCs w:val="28"/>
        </w:rPr>
        <w:sym w:font="HQPB2" w:char="F072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1" w:char="F024"/>
      </w:r>
      <w:r w:rsidR="00C461BE">
        <w:rPr>
          <w:sz w:val="28"/>
          <w:szCs w:val="28"/>
        </w:rPr>
        <w:sym w:font="HQPB4" w:char="F056"/>
      </w:r>
      <w:r w:rsidR="00C461BE">
        <w:rPr>
          <w:sz w:val="28"/>
          <w:szCs w:val="28"/>
        </w:rPr>
        <w:sym w:font="HQPB2" w:char="F04A"/>
      </w:r>
      <w:r w:rsidR="00C461BE">
        <w:rPr>
          <w:sz w:val="28"/>
          <w:szCs w:val="28"/>
        </w:rPr>
        <w:sym w:font="HQPB2" w:char="F08A"/>
      </w:r>
      <w:r w:rsidR="00C461BE">
        <w:rPr>
          <w:sz w:val="28"/>
          <w:szCs w:val="28"/>
        </w:rPr>
        <w:sym w:font="HQPB4" w:char="F0CE"/>
      </w:r>
      <w:r w:rsidR="00C461BE">
        <w:rPr>
          <w:sz w:val="28"/>
          <w:szCs w:val="28"/>
        </w:rPr>
        <w:sym w:font="HQPB2" w:char="F03D"/>
      </w:r>
      <w:r w:rsidR="00C461BE">
        <w:rPr>
          <w:sz w:val="28"/>
          <w:szCs w:val="28"/>
        </w:rPr>
        <w:sym w:font="HQPB4" w:char="F0F3"/>
      </w:r>
      <w:r w:rsidR="00C461BE">
        <w:rPr>
          <w:sz w:val="28"/>
          <w:szCs w:val="28"/>
        </w:rPr>
        <w:sym w:font="HQPB1" w:char="F0A1"/>
      </w:r>
      <w:r w:rsidR="00C461BE">
        <w:rPr>
          <w:sz w:val="28"/>
          <w:szCs w:val="28"/>
        </w:rPr>
        <w:sym w:font="HQPB5" w:char="F06E"/>
      </w:r>
      <w:r w:rsidR="00C461BE">
        <w:rPr>
          <w:sz w:val="28"/>
          <w:szCs w:val="28"/>
        </w:rPr>
        <w:sym w:font="HQPB1" w:char="F040"/>
      </w:r>
      <w:r w:rsidR="00C461BE">
        <w:rPr>
          <w:rFonts w:ascii="(normal text)" w:hAnsi="(normal text)"/>
          <w:rtl/>
        </w:rPr>
        <w:t xml:space="preserve"> </w:t>
      </w:r>
      <w:r w:rsidR="00C461BE">
        <w:rPr>
          <w:sz w:val="28"/>
          <w:szCs w:val="28"/>
        </w:rPr>
        <w:sym w:font="HQPB2" w:char="F0C7"/>
      </w:r>
      <w:r w:rsidR="00C461BE">
        <w:rPr>
          <w:sz w:val="28"/>
          <w:szCs w:val="28"/>
        </w:rPr>
        <w:sym w:font="HQPB2" w:char="F0CF"/>
      </w:r>
      <w:r w:rsidR="00C461BE">
        <w:rPr>
          <w:sz w:val="28"/>
          <w:szCs w:val="28"/>
        </w:rPr>
        <w:sym w:font="HQPB2" w:char="F0CE"/>
      </w:r>
      <w:r w:rsidR="00C461BE">
        <w:rPr>
          <w:sz w:val="28"/>
          <w:szCs w:val="28"/>
        </w:rPr>
        <w:sym w:font="HQPB2" w:char="F0C8"/>
      </w:r>
      <w:r w:rsidR="00C461BE">
        <w:rPr>
          <w:rFonts w:ascii="(normal text)" w:hAnsi="(normal text)"/>
          <w:rtl/>
        </w:rPr>
        <w:t xml:space="preserve">   </w:t>
      </w:r>
    </w:p>
    <w:p w:rsidR="00E900A0" w:rsidRDefault="006B4276" w:rsidP="00C461B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Artinya: </w:t>
      </w:r>
      <w:r w:rsidR="00554EB3" w:rsidRPr="00434552">
        <w:rPr>
          <w:rFonts w:ascii="Times New Roman" w:hAnsi="Times New Roman" w:cs="Times New Roman"/>
          <w:i/>
          <w:sz w:val="24"/>
          <w:szCs w:val="24"/>
        </w:rPr>
        <w:t>Maka demi Tuhanmu, mereka tidak beriman hingga mereka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434552">
        <w:rPr>
          <w:rFonts w:ascii="Times New Roman" w:hAnsi="Times New Roman" w:cs="Times New Roman"/>
          <w:i/>
          <w:sz w:val="24"/>
          <w:szCs w:val="24"/>
        </w:rPr>
        <w:t>menjadikan kamu hakim terhadap perkara yang mereka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434552">
        <w:rPr>
          <w:rFonts w:ascii="Times New Roman" w:hAnsi="Times New Roman" w:cs="Times New Roman"/>
          <w:i/>
          <w:sz w:val="24"/>
          <w:szCs w:val="24"/>
        </w:rPr>
        <w:t>perselisihkan, kemudian mereka tidak merasa dalam hati mereka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434552">
        <w:rPr>
          <w:rFonts w:ascii="Times New Roman" w:hAnsi="Times New Roman" w:cs="Times New Roman"/>
          <w:i/>
          <w:sz w:val="24"/>
          <w:szCs w:val="24"/>
        </w:rPr>
        <w:t>sesuatu keberatan terhadap putusan yang kamu berikan, dan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434552">
        <w:rPr>
          <w:rFonts w:ascii="Times New Roman" w:hAnsi="Times New Roman" w:cs="Times New Roman"/>
          <w:i/>
          <w:sz w:val="24"/>
          <w:szCs w:val="24"/>
        </w:rPr>
        <w:t>mereka</w:t>
      </w:r>
      <w:r w:rsidR="00E900A0" w:rsidRPr="00434552">
        <w:rPr>
          <w:rFonts w:ascii="Times New Roman" w:hAnsi="Times New Roman" w:cs="Times New Roman"/>
          <w:i/>
          <w:sz w:val="24"/>
          <w:szCs w:val="24"/>
        </w:rPr>
        <w:t xml:space="preserve"> menerima dengan sepenuhnya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0A0">
        <w:rPr>
          <w:rFonts w:ascii="Times New Roman" w:hAnsi="Times New Roman" w:cs="Times New Roman"/>
          <w:sz w:val="24"/>
          <w:szCs w:val="24"/>
        </w:rPr>
        <w:t xml:space="preserve"> </w:t>
      </w:r>
      <w:r w:rsidR="00E900A0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</w:p>
    <w:p w:rsidR="00E900A0" w:rsidRDefault="00E900A0" w:rsidP="005B1B84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9E185A" w:rsidRDefault="00554EB3" w:rsidP="00C461BE">
      <w:pPr>
        <w:autoSpaceDE w:val="0"/>
        <w:autoSpaceDN w:val="0"/>
        <w:adjustRightInd w:val="0"/>
        <w:spacing w:after="0" w:line="480" w:lineRule="auto"/>
        <w:ind w:firstLine="731"/>
        <w:jc w:val="both"/>
        <w:rPr>
          <w:sz w:val="28"/>
          <w:szCs w:val="28"/>
        </w:rPr>
      </w:pPr>
      <w:r w:rsidRPr="00554EB3">
        <w:rPr>
          <w:rFonts w:ascii="Times New Roman" w:hAnsi="Times New Roman" w:cs="Times New Roman"/>
          <w:sz w:val="24"/>
          <w:szCs w:val="24"/>
        </w:rPr>
        <w:t>Dan aya</w:t>
      </w:r>
      <w:r w:rsidR="00605D76">
        <w:rPr>
          <w:rFonts w:ascii="Times New Roman" w:hAnsi="Times New Roman" w:cs="Times New Roman"/>
          <w:sz w:val="24"/>
          <w:szCs w:val="24"/>
        </w:rPr>
        <w:t>t lain Ia memerintahkan kepada N</w:t>
      </w:r>
      <w:r w:rsidR="00605D76" w:rsidRPr="00554EB3">
        <w:rPr>
          <w:rFonts w:ascii="Times New Roman" w:hAnsi="Times New Roman" w:cs="Times New Roman"/>
          <w:sz w:val="24"/>
          <w:szCs w:val="24"/>
        </w:rPr>
        <w:t xml:space="preserve">abi </w:t>
      </w:r>
      <w:r w:rsidRPr="00554EB3">
        <w:rPr>
          <w:rFonts w:ascii="Times New Roman" w:hAnsi="Times New Roman" w:cs="Times New Roman"/>
          <w:sz w:val="24"/>
          <w:szCs w:val="24"/>
        </w:rPr>
        <w:t>Muhammmad dan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membimbingnya agar memutuskan hukum dengan apa yang Ia turunkan</w:t>
      </w:r>
      <w:r w:rsidR="00DF05E6">
        <w:rPr>
          <w:rFonts w:ascii="Times New Roman" w:hAnsi="Times New Roman" w:cs="Times New Roman"/>
          <w:sz w:val="24"/>
          <w:szCs w:val="24"/>
        </w:rPr>
        <w:t xml:space="preserve"> </w:t>
      </w:r>
      <w:r w:rsidR="00434552">
        <w:rPr>
          <w:rFonts w:ascii="Times New Roman" w:hAnsi="Times New Roman" w:cs="Times New Roman"/>
          <w:sz w:val="24"/>
          <w:szCs w:val="24"/>
        </w:rPr>
        <w:t xml:space="preserve">kepadanya dalam firman-Nya dalam surat Al-Maidah 5/48 : </w:t>
      </w:r>
    </w:p>
    <w:p w:rsidR="00C461BE" w:rsidRDefault="00C461BE" w:rsidP="005D2C4A">
      <w:pPr>
        <w:autoSpaceDE w:val="0"/>
        <w:autoSpaceDN w:val="0"/>
        <w:bidi/>
        <w:adjustRightInd w:val="0"/>
        <w:spacing w:after="0"/>
        <w:jc w:val="both"/>
        <w:rPr>
          <w:rFonts w:ascii="(normal text)" w:hAnsi="(normal text)"/>
          <w:rtl/>
        </w:rPr>
      </w:pP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3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4" w:char="F064"/>
      </w:r>
      <w:r>
        <w:rPr>
          <w:sz w:val="28"/>
          <w:szCs w:val="28"/>
        </w:rPr>
        <w:sym w:font="HQPB2" w:char="F02C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D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A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3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7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6E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8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E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AE"/>
      </w:r>
      <w:r>
        <w:rPr>
          <w:sz w:val="28"/>
          <w:szCs w:val="28"/>
        </w:rPr>
        <w:sym w:font="HQPB1" w:char="F04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6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64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A3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38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5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0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4" w:char="F064"/>
      </w:r>
      <w:r>
        <w:rPr>
          <w:sz w:val="28"/>
          <w:szCs w:val="28"/>
        </w:rPr>
        <w:sym w:font="HQPB2" w:char="F02C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9"/>
      </w:r>
      <w:r>
        <w:rPr>
          <w:sz w:val="28"/>
          <w:szCs w:val="28"/>
        </w:rPr>
        <w:sym w:font="HQPB4" w:char="F065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5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B0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5"/>
      </w:r>
      <w:r>
        <w:rPr>
          <w:sz w:val="28"/>
          <w:szCs w:val="28"/>
        </w:rPr>
        <w:sym w:font="HQPB4" w:char="F05B"/>
      </w:r>
      <w:r>
        <w:rPr>
          <w:sz w:val="28"/>
          <w:szCs w:val="28"/>
        </w:rPr>
        <w:sym w:font="HQPB1" w:char="F060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A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E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3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A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3" w:char="F03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7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E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2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5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A5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4" w:char="F06D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E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83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D"/>
      </w:r>
      <w:r>
        <w:rPr>
          <w:sz w:val="28"/>
          <w:szCs w:val="28"/>
        </w:rPr>
        <w:sym w:font="HQPB2" w:char="F0D1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434552" w:rsidRPr="00434552" w:rsidRDefault="00434552" w:rsidP="00434552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 w:cs="Times New Roman"/>
          <w:sz w:val="20"/>
          <w:szCs w:val="24"/>
        </w:rPr>
      </w:pPr>
    </w:p>
    <w:p w:rsidR="00E900A0" w:rsidRPr="00902E58" w:rsidRDefault="00902E58" w:rsidP="00C461B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E58">
        <w:rPr>
          <w:rFonts w:ascii="Times New Roman" w:hAnsi="Times New Roman" w:cs="Times New Roman"/>
          <w:i/>
          <w:sz w:val="24"/>
          <w:szCs w:val="24"/>
        </w:rPr>
        <w:t xml:space="preserve">Artinya: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Dan Kami telah turunkan kepadamu Al Qur'an dengan membawa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kebenaran, membenarkan apa yang sebelumnya, yaitu kitab-kitab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dan batu ujian terhadap kitab-kitab yang lain itu; maka putuskanlah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perkara mereka menurut apa yang Allah turunkan dan janganlah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kamu mengikuti hawa nafsu mereka dengan meninggalkan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 xml:space="preserve">kebenaran yang telah datang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lastRenderedPageBreak/>
        <w:t>kepadamu. Untuk tiap-tiap umat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diantara kamu, Kami berikan aturan dan jalan yang terang.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Sekiranya Allah menghendaki, niscaya kamu dijadikan-Nya satu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umat, tetapi Allah hendak menguji kamu terhadap pemberian-Nya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kepadamu, maka berlomba-lombalah berbuat kebajikan. Hanya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kepada Allah-lah kembali kamu semuanya, lalu diberitahukan-Nya</w:t>
      </w:r>
      <w:r w:rsidR="00DF0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kepadamu apa yang telah kamu perselisihkan it</w:t>
      </w:r>
      <w:r w:rsidR="009E185A" w:rsidRPr="00902E58">
        <w:rPr>
          <w:rFonts w:ascii="Times New Roman" w:hAnsi="Times New Roman" w:cs="Times New Roman"/>
          <w:i/>
          <w:sz w:val="24"/>
          <w:szCs w:val="24"/>
        </w:rPr>
        <w:t xml:space="preserve">u. </w:t>
      </w:r>
      <w:r w:rsidR="00554EB3" w:rsidRPr="00902E58">
        <w:rPr>
          <w:rFonts w:ascii="Times New Roman" w:hAnsi="Times New Roman" w:cs="Times New Roman"/>
          <w:i/>
          <w:sz w:val="24"/>
          <w:szCs w:val="24"/>
        </w:rPr>
        <w:t>(QS. Al-Maidah:</w:t>
      </w:r>
      <w:r w:rsidR="00E900A0" w:rsidRPr="00902E58">
        <w:rPr>
          <w:rFonts w:ascii="Times New Roman" w:hAnsi="Times New Roman" w:cs="Times New Roman"/>
          <w:i/>
          <w:sz w:val="24"/>
          <w:szCs w:val="24"/>
        </w:rPr>
        <w:t xml:space="preserve"> 48)</w:t>
      </w:r>
      <w:r w:rsidR="00E900A0" w:rsidRPr="00902E5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2"/>
      </w:r>
    </w:p>
    <w:p w:rsidR="00E900A0" w:rsidRDefault="00E900A0" w:rsidP="00E900A0">
      <w:pPr>
        <w:autoSpaceDE w:val="0"/>
        <w:autoSpaceDN w:val="0"/>
        <w:adjustRightInd w:val="0"/>
        <w:spacing w:after="0" w:line="36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93FFD" w:rsidRDefault="00554EB3" w:rsidP="006A45FD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Kemudian setelah Nabi Muhammad SAW mendapatkan wahyu yang</w:t>
      </w:r>
      <w:r w:rsidR="00E900A0">
        <w:rPr>
          <w:rFonts w:ascii="Times New Roman" w:hAnsi="Times New Roman" w:cs="Times New Roman"/>
          <w:sz w:val="24"/>
          <w:szCs w:val="24"/>
        </w:rPr>
        <w:t xml:space="preserve"> berupa al-Qur’An </w:t>
      </w:r>
      <w:r w:rsidRPr="00554EB3">
        <w:rPr>
          <w:rFonts w:ascii="Times New Roman" w:hAnsi="Times New Roman" w:cs="Times New Roman"/>
          <w:sz w:val="24"/>
          <w:szCs w:val="24"/>
        </w:rPr>
        <w:t>maka ditangan Nabi Muhammad tergenggam kekuasaan.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Ketika ada berbag</w:t>
      </w:r>
      <w:r w:rsidR="00C4489E">
        <w:rPr>
          <w:rFonts w:ascii="Times New Roman" w:hAnsi="Times New Roman" w:cs="Times New Roman"/>
          <w:sz w:val="24"/>
          <w:szCs w:val="24"/>
        </w:rPr>
        <w:t>ai perkara yang diajukan kepada</w:t>
      </w:r>
      <w:r w:rsidRPr="00554EB3">
        <w:rPr>
          <w:rFonts w:ascii="Times New Roman" w:hAnsi="Times New Roman" w:cs="Times New Roman"/>
          <w:sz w:val="24"/>
          <w:szCs w:val="24"/>
        </w:rPr>
        <w:t>nya maka perkara tersebut</w:t>
      </w:r>
      <w:r w:rsidR="00C4489E">
        <w:rPr>
          <w:rFonts w:ascii="Times New Roman" w:hAnsi="Times New Roman" w:cs="Times New Roman"/>
          <w:sz w:val="24"/>
          <w:szCs w:val="24"/>
        </w:rPr>
        <w:t xml:space="preserve"> beliau</w:t>
      </w:r>
      <w:r w:rsidRPr="00554EB3">
        <w:rPr>
          <w:rFonts w:ascii="Times New Roman" w:hAnsi="Times New Roman" w:cs="Times New Roman"/>
          <w:sz w:val="24"/>
          <w:szCs w:val="24"/>
        </w:rPr>
        <w:t xml:space="preserve"> putuskan hukumnya, sebag</w:t>
      </w:r>
      <w:r w:rsidR="00721819">
        <w:rPr>
          <w:rFonts w:ascii="Times New Roman" w:hAnsi="Times New Roman" w:cs="Times New Roman"/>
          <w:sz w:val="24"/>
          <w:szCs w:val="24"/>
        </w:rPr>
        <w:t>a</w:t>
      </w:r>
      <w:r w:rsidRPr="00554EB3">
        <w:rPr>
          <w:rFonts w:ascii="Times New Roman" w:hAnsi="Times New Roman" w:cs="Times New Roman"/>
          <w:sz w:val="24"/>
          <w:szCs w:val="24"/>
        </w:rPr>
        <w:t>imana halnya ia memberikan fatwa apabila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</w:t>
      </w:r>
      <w:r w:rsidR="00C4489E">
        <w:rPr>
          <w:rFonts w:ascii="Times New Roman" w:hAnsi="Times New Roman" w:cs="Times New Roman"/>
          <w:sz w:val="24"/>
          <w:szCs w:val="24"/>
        </w:rPr>
        <w:t>ajukan permohonan fatwa kepadan</w:t>
      </w:r>
      <w:r w:rsidRPr="00554EB3">
        <w:rPr>
          <w:rFonts w:ascii="Times New Roman" w:hAnsi="Times New Roman" w:cs="Times New Roman"/>
          <w:sz w:val="24"/>
          <w:szCs w:val="24"/>
        </w:rPr>
        <w:t>ya.</w:t>
      </w:r>
    </w:p>
    <w:p w:rsidR="006A45FD" w:rsidRDefault="00554EB3" w:rsidP="006A45F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Dalam Islam objek peradilan adalah peradilan yang menyangkut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semua hak, baik itu ha</w:t>
      </w:r>
      <w:r w:rsidR="00DC6A82">
        <w:rPr>
          <w:rFonts w:ascii="Times New Roman" w:hAnsi="Times New Roman" w:cs="Times New Roman"/>
          <w:sz w:val="24"/>
          <w:szCs w:val="24"/>
        </w:rPr>
        <w:t xml:space="preserve">k Allah SWT atupun hak manusia. </w:t>
      </w:r>
      <w:r w:rsidRPr="00554EB3">
        <w:rPr>
          <w:rFonts w:ascii="Times New Roman" w:hAnsi="Times New Roman" w:cs="Times New Roman"/>
          <w:sz w:val="24"/>
          <w:szCs w:val="24"/>
        </w:rPr>
        <w:t xml:space="preserve">Peradilan secara </w:t>
      </w:r>
      <w:r w:rsidR="0028118C">
        <w:rPr>
          <w:rFonts w:ascii="Times New Roman" w:hAnsi="Times New Roman" w:cs="Times New Roman"/>
          <w:sz w:val="24"/>
          <w:szCs w:val="24"/>
        </w:rPr>
        <w:t>sederhana, cepat dan biaya ringan</w:t>
      </w:r>
      <w:r w:rsidRPr="00554EB3">
        <w:rPr>
          <w:rFonts w:ascii="Times New Roman" w:hAnsi="Times New Roman" w:cs="Times New Roman"/>
          <w:sz w:val="24"/>
          <w:szCs w:val="24"/>
        </w:rPr>
        <w:t xml:space="preserve"> dalam Islam dapat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dilihat secara jelas yakni dari proses penyelesaian perkaranya yang spontan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dan tuntas.</w:t>
      </w:r>
    </w:p>
    <w:p w:rsidR="006A45FD" w:rsidRPr="00554EB3" w:rsidRDefault="00554EB3" w:rsidP="006A45F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EB3">
        <w:rPr>
          <w:rFonts w:ascii="Times New Roman" w:hAnsi="Times New Roman" w:cs="Times New Roman"/>
          <w:sz w:val="24"/>
          <w:szCs w:val="24"/>
        </w:rPr>
        <w:t>Hal tersebut dapat kita lihat dari contoh yang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554EB3">
        <w:rPr>
          <w:rFonts w:ascii="Times New Roman" w:hAnsi="Times New Roman" w:cs="Times New Roman"/>
          <w:sz w:val="24"/>
          <w:szCs w:val="24"/>
        </w:rPr>
        <w:t>dilakukan oleh Nabi Muhammad dan para sahabatnya</w:t>
      </w:r>
      <w:r w:rsidR="006B4276">
        <w:rPr>
          <w:rFonts w:ascii="Times New Roman" w:hAnsi="Times New Roman" w:cs="Times New Roman"/>
          <w:sz w:val="24"/>
          <w:szCs w:val="24"/>
        </w:rPr>
        <w:t xml:space="preserve"> </w:t>
      </w:r>
      <w:r w:rsidR="00343758">
        <w:rPr>
          <w:rFonts w:ascii="Times New Roman" w:hAnsi="Times New Roman" w:cs="Times New Roman"/>
          <w:sz w:val="24"/>
          <w:szCs w:val="24"/>
        </w:rPr>
        <w:t>: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Dalam perkara yang diselesaikan oleh Ali bin Abi Thalib r.a yakni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mengenai kasus tentang baju besi milik Ali bin Abi Thalib r.a. kasus ini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intinya tentang hilangnya ba</w:t>
      </w:r>
      <w:r w:rsidR="00CE4555">
        <w:rPr>
          <w:rFonts w:ascii="Times New Roman" w:hAnsi="Times New Roman" w:cs="Times New Roman"/>
          <w:sz w:val="24"/>
          <w:szCs w:val="24"/>
        </w:rPr>
        <w:t xml:space="preserve">ju besi milik Ali dari untanya. </w:t>
      </w:r>
      <w:r w:rsidR="00893FFD" w:rsidRPr="00893FFD">
        <w:rPr>
          <w:rFonts w:ascii="Times New Roman" w:hAnsi="Times New Roman" w:cs="Times New Roman"/>
          <w:sz w:val="24"/>
          <w:szCs w:val="24"/>
        </w:rPr>
        <w:t>K</w:t>
      </w:r>
      <w:r w:rsidRPr="00893FFD">
        <w:rPr>
          <w:rFonts w:ascii="Times New Roman" w:hAnsi="Times New Roman" w:cs="Times New Roman"/>
          <w:sz w:val="24"/>
          <w:szCs w:val="24"/>
        </w:rPr>
        <w:t>emudian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ketika dalam perjalanan Ali melihat bahwasannya baju besi miliknya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berada ditangan orang Yahudi. Dalam perkara tersebut Ali bin Ali Talib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langsung menyelesaikan perkara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lastRenderedPageBreak/>
        <w:t>tersebut pada waktu itu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juga. Walaupun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pada akhirnya baju besi yang telah ditemukan oleh Yahudi tersebut</w:t>
      </w:r>
      <w:r w:rsidR="00721819">
        <w:rPr>
          <w:rFonts w:ascii="Times New Roman" w:hAnsi="Times New Roman" w:cs="Times New Roman"/>
          <w:sz w:val="24"/>
          <w:szCs w:val="24"/>
        </w:rPr>
        <w:t xml:space="preserve"> </w:t>
      </w:r>
      <w:r w:rsidRPr="00893FFD">
        <w:rPr>
          <w:rFonts w:ascii="Times New Roman" w:hAnsi="Times New Roman" w:cs="Times New Roman"/>
          <w:sz w:val="24"/>
          <w:szCs w:val="24"/>
        </w:rPr>
        <w:t>akhirnya dihi</w:t>
      </w:r>
      <w:r w:rsidR="005C1615">
        <w:rPr>
          <w:rFonts w:ascii="Times New Roman" w:hAnsi="Times New Roman" w:cs="Times New Roman"/>
          <w:sz w:val="24"/>
          <w:szCs w:val="24"/>
        </w:rPr>
        <w:t>bahkan oleh Ali kepada Yahudi.</w:t>
      </w:r>
      <w:r w:rsidR="005C1615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bookmarkStart w:id="0" w:name="_GoBack"/>
      <w:bookmarkEnd w:id="0"/>
    </w:p>
    <w:sectPr w:rsidR="006A45FD" w:rsidRPr="00554EB3" w:rsidSect="0006143F">
      <w:headerReference w:type="default" r:id="rId8"/>
      <w:pgSz w:w="12191" w:h="15593" w:code="15"/>
      <w:pgMar w:top="2268" w:right="1701" w:bottom="1701" w:left="226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71" w:rsidRDefault="00E42471" w:rsidP="00554EB3">
      <w:pPr>
        <w:spacing w:after="0" w:line="240" w:lineRule="auto"/>
      </w:pPr>
      <w:r>
        <w:separator/>
      </w:r>
    </w:p>
  </w:endnote>
  <w:endnote w:type="continuationSeparator" w:id="1">
    <w:p w:rsidR="00E42471" w:rsidRDefault="00E42471" w:rsidP="0055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71" w:rsidRDefault="00E42471" w:rsidP="00554EB3">
      <w:pPr>
        <w:spacing w:after="0" w:line="240" w:lineRule="auto"/>
      </w:pPr>
      <w:r>
        <w:separator/>
      </w:r>
    </w:p>
  </w:footnote>
  <w:footnote w:type="continuationSeparator" w:id="1">
    <w:p w:rsidR="00E42471" w:rsidRDefault="00E42471" w:rsidP="00554EB3">
      <w:pPr>
        <w:spacing w:after="0" w:line="240" w:lineRule="auto"/>
      </w:pPr>
      <w:r>
        <w:continuationSeparator/>
      </w:r>
    </w:p>
  </w:footnote>
  <w:footnote w:id="2">
    <w:p w:rsidR="008A0DD5" w:rsidRDefault="008A0DD5" w:rsidP="008A0DD5">
      <w:pPr>
        <w:pStyle w:val="FootnoteText"/>
        <w:rPr>
          <w:rFonts w:ascii="Times New Roman" w:hAnsi="Times New Roman" w:cs="Times New Roman"/>
        </w:rPr>
      </w:pPr>
    </w:p>
    <w:p w:rsidR="008A0DD5" w:rsidRPr="00D37773" w:rsidRDefault="00434552" w:rsidP="008A0DD5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Sudarsono, </w:t>
      </w:r>
      <w:r w:rsidRPr="008D1CCC">
        <w:rPr>
          <w:rFonts w:ascii="Times New Roman" w:hAnsi="Times New Roman" w:cs="Times New Roman"/>
          <w:i/>
          <w:iCs/>
        </w:rPr>
        <w:t xml:space="preserve">Kamus Hukum, </w:t>
      </w:r>
      <w:r w:rsidR="00723195">
        <w:rPr>
          <w:rFonts w:ascii="Times New Roman" w:hAnsi="Times New Roman" w:cs="Times New Roman"/>
          <w:iCs/>
        </w:rPr>
        <w:t>(</w:t>
      </w:r>
      <w:r w:rsidRPr="008D1CCC">
        <w:rPr>
          <w:rFonts w:ascii="Times New Roman" w:hAnsi="Times New Roman" w:cs="Times New Roman"/>
        </w:rPr>
        <w:t>Jakarta : PT Rineka Cipta</w:t>
      </w:r>
      <w:r w:rsidR="00723195">
        <w:rPr>
          <w:rFonts w:ascii="Times New Roman" w:hAnsi="Times New Roman" w:cs="Times New Roman"/>
        </w:rPr>
        <w:t>)</w:t>
      </w:r>
      <w:r w:rsidRPr="008D1CCC">
        <w:rPr>
          <w:rFonts w:ascii="Times New Roman" w:hAnsi="Times New Roman" w:cs="Times New Roman"/>
        </w:rPr>
        <w:t xml:space="preserve">, 1992, </w:t>
      </w:r>
      <w:r>
        <w:rPr>
          <w:rFonts w:ascii="Times New Roman" w:hAnsi="Times New Roman" w:cs="Times New Roman"/>
        </w:rPr>
        <w:t>h.</w:t>
      </w:r>
      <w:r w:rsidR="00D37773">
        <w:rPr>
          <w:rFonts w:ascii="Times New Roman" w:hAnsi="Times New Roman" w:cs="Times New Roman"/>
        </w:rPr>
        <w:t xml:space="preserve"> 36</w:t>
      </w:r>
      <w:r w:rsidR="006F0F0E">
        <w:rPr>
          <w:rFonts w:ascii="Times New Roman" w:hAnsi="Times New Roman" w:cs="Times New Roman"/>
        </w:rPr>
        <w:t>.</w:t>
      </w:r>
    </w:p>
  </w:footnote>
  <w:footnote w:id="3">
    <w:p w:rsidR="00434552" w:rsidRPr="008D1CCC" w:rsidRDefault="00434552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Tim Penyusun Kamus Besar Bahasa Indonesia,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Kamus Besar Bahasa Indonesia</w:t>
      </w:r>
      <w:r w:rsidR="006F0F0E">
        <w:rPr>
          <w:rFonts w:ascii="Times New Roman" w:hAnsi="Times New Roman" w:cs="Times New Roman"/>
          <w:sz w:val="20"/>
          <w:szCs w:val="20"/>
        </w:rPr>
        <w:t>,</w:t>
      </w:r>
      <w:r w:rsidR="00723195">
        <w:rPr>
          <w:rFonts w:ascii="Times New Roman" w:hAnsi="Times New Roman" w:cs="Times New Roman"/>
          <w:sz w:val="20"/>
          <w:szCs w:val="20"/>
        </w:rPr>
        <w:t>(</w:t>
      </w:r>
      <w:r w:rsidR="006F0F0E">
        <w:rPr>
          <w:rFonts w:ascii="Times New Roman" w:hAnsi="Times New Roman" w:cs="Times New Roman"/>
          <w:sz w:val="20"/>
          <w:szCs w:val="20"/>
        </w:rPr>
        <w:t xml:space="preserve"> Jakarta</w:t>
      </w:r>
      <w:r w:rsidRPr="008D1CCC">
        <w:rPr>
          <w:rFonts w:ascii="Times New Roman" w:hAnsi="Times New Roman" w:cs="Times New Roman"/>
          <w:sz w:val="20"/>
          <w:szCs w:val="20"/>
        </w:rPr>
        <w:t>: Balai Pustaka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1990,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>. 163</w:t>
      </w:r>
      <w:r w:rsidR="006F0F0E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434552" w:rsidRPr="008D1CCC" w:rsidRDefault="00434552" w:rsidP="008A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A. Mukti Arto,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Mencari Keadilan (Kritik Dan Solusi Terhadap Praktik ParadilanPerdata</w:t>
      </w:r>
      <w:r w:rsidR="009F5980">
        <w:rPr>
          <w:rFonts w:ascii="Times New Roman" w:hAnsi="Times New Roman" w:cs="Times New Roman"/>
          <w:i/>
          <w:iCs/>
          <w:sz w:val="20"/>
          <w:szCs w:val="20"/>
        </w:rPr>
        <w:t xml:space="preserve"> di Indonesia</w:t>
      </w:r>
      <w:r w:rsidRPr="008D1CCC">
        <w:rPr>
          <w:rFonts w:ascii="Times New Roman" w:hAnsi="Times New Roman" w:cs="Times New Roman"/>
          <w:sz w:val="20"/>
          <w:szCs w:val="20"/>
        </w:rPr>
        <w:t xml:space="preserve">, </w:t>
      </w:r>
      <w:r w:rsidR="00723195">
        <w:rPr>
          <w:rFonts w:ascii="Times New Roman" w:hAnsi="Times New Roman" w:cs="Times New Roman"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Yogyakarta : Pustaka Pelajar Offset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>, 2001, h. 64.</w:t>
      </w:r>
    </w:p>
  </w:footnote>
  <w:footnote w:id="5">
    <w:p w:rsidR="00434552" w:rsidRPr="008D1CCC" w:rsidRDefault="00434552" w:rsidP="00D37773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8D1CCC" w:rsidRDefault="00434552" w:rsidP="00E06909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  <w:rFonts w:ascii="Times New Roman" w:hAnsi="Times New Roman" w:cs="Times New Roman"/>
        </w:rPr>
        <w:footnoteRef/>
      </w:r>
      <w:r w:rsidR="002C4D53" w:rsidRPr="008D1CCC">
        <w:rPr>
          <w:rFonts w:ascii="Times New Roman" w:hAnsi="Times New Roman" w:cs="Times New Roman"/>
        </w:rPr>
        <w:t xml:space="preserve">Tim Penyusun Kamus Besar Bahasa Indonesia, </w:t>
      </w:r>
      <w:r w:rsidR="002C4D53">
        <w:rPr>
          <w:rFonts w:ascii="Times New Roman" w:hAnsi="Times New Roman" w:cs="Times New Roman"/>
          <w:i/>
          <w:iCs/>
        </w:rPr>
        <w:t>Op. Cit.,</w:t>
      </w:r>
      <w:r w:rsidR="002C4D53">
        <w:rPr>
          <w:rFonts w:ascii="Times New Roman" w:hAnsi="Times New Roman" w:cs="Times New Roman"/>
        </w:rPr>
        <w:t xml:space="preserve"> h.</w:t>
      </w:r>
      <w:r w:rsidR="002C4D53" w:rsidRPr="008D1CCC">
        <w:rPr>
          <w:rFonts w:ascii="Times New Roman" w:hAnsi="Times New Roman" w:cs="Times New Roman"/>
        </w:rPr>
        <w:t xml:space="preserve"> 792</w:t>
      </w:r>
      <w:r w:rsidR="002C4D53">
        <w:rPr>
          <w:rFonts w:ascii="Times New Roman" w:hAnsi="Times New Roman" w:cs="Times New Roman"/>
        </w:rPr>
        <w:t>.</w:t>
      </w:r>
    </w:p>
  </w:footnote>
  <w:footnote w:id="6">
    <w:p w:rsidR="00434552" w:rsidRPr="00E114B9" w:rsidRDefault="00434552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Setiawan,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Aneka Masalah Hukum dan Hukum Acara Perdata, </w:t>
      </w:r>
      <w:r w:rsidR="00723195">
        <w:rPr>
          <w:rFonts w:ascii="Times New Roman" w:hAnsi="Times New Roman" w:cs="Times New Roman"/>
          <w:iCs/>
          <w:sz w:val="20"/>
          <w:szCs w:val="20"/>
        </w:rPr>
        <w:t>(</w:t>
      </w:r>
      <w:r w:rsidR="00723195">
        <w:rPr>
          <w:rFonts w:ascii="Times New Roman" w:hAnsi="Times New Roman" w:cs="Times New Roman"/>
          <w:sz w:val="20"/>
          <w:szCs w:val="20"/>
        </w:rPr>
        <w:t xml:space="preserve">Bandung : PT </w:t>
      </w:r>
      <w:r>
        <w:rPr>
          <w:rFonts w:ascii="Times New Roman" w:hAnsi="Times New Roman" w:cs="Times New Roman"/>
          <w:sz w:val="20"/>
          <w:szCs w:val="20"/>
        </w:rPr>
        <w:t>Alumni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F5980">
        <w:rPr>
          <w:rFonts w:ascii="Times New Roman" w:hAnsi="Times New Roman" w:cs="Times New Roman"/>
          <w:sz w:val="20"/>
        </w:rPr>
        <w:t>1992, h. 427.</w:t>
      </w:r>
    </w:p>
  </w:footnote>
  <w:footnote w:id="7">
    <w:p w:rsidR="00434552" w:rsidRDefault="00434552" w:rsidP="00723195">
      <w:pPr>
        <w:pStyle w:val="FootnoteText"/>
        <w:ind w:firstLine="709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A. Mukti Arto, </w:t>
      </w:r>
      <w:r>
        <w:rPr>
          <w:rFonts w:ascii="Times New Roman" w:hAnsi="Times New Roman" w:cs="Times New Roman"/>
          <w:i/>
          <w:iCs/>
        </w:rPr>
        <w:t>Mencari Keadilan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Op., cit., </w:t>
      </w:r>
      <w:r>
        <w:rPr>
          <w:rFonts w:ascii="Times New Roman" w:hAnsi="Times New Roman" w:cs="Times New Roman"/>
        </w:rPr>
        <w:t>h. 65.</w:t>
      </w:r>
    </w:p>
  </w:footnote>
  <w:footnote w:id="8">
    <w:p w:rsidR="00D177FF" w:rsidRDefault="00D177FF">
      <w:pPr>
        <w:pStyle w:val="FootnoteText"/>
      </w:pPr>
    </w:p>
    <w:p w:rsidR="00D177FF" w:rsidRDefault="00D177FF" w:rsidP="00723195">
      <w:pPr>
        <w:pStyle w:val="FootnoteText"/>
        <w:ind w:firstLine="709"/>
        <w:jc w:val="both"/>
      </w:pPr>
      <w:r>
        <w:rPr>
          <w:rStyle w:val="FootnoteReference"/>
        </w:rPr>
        <w:footnoteRef/>
      </w:r>
      <w:r w:rsidR="000957F8">
        <w:rPr>
          <w:rFonts w:ascii="Times New Roman" w:hAnsi="Times New Roman" w:cs="Times New Roman"/>
        </w:rPr>
        <w:t xml:space="preserve">M. Yahya Harahap, </w:t>
      </w:r>
      <w:r w:rsidR="000957F8">
        <w:rPr>
          <w:rFonts w:ascii="Times New Roman" w:hAnsi="Times New Roman" w:cs="Times New Roman"/>
          <w:i/>
        </w:rPr>
        <w:t xml:space="preserve">Kedudukan Kewenangan dan Acara </w:t>
      </w:r>
      <w:r w:rsidR="00DF4050">
        <w:rPr>
          <w:rFonts w:ascii="Times New Roman" w:hAnsi="Times New Roman" w:cs="Times New Roman"/>
          <w:i/>
        </w:rPr>
        <w:t>Peradilan Agama (Undang-undang No 7 Tahun 1989),</w:t>
      </w:r>
      <w:r w:rsidR="00723195" w:rsidRPr="00723195">
        <w:rPr>
          <w:rFonts w:ascii="Times New Roman" w:hAnsi="Times New Roman" w:cs="Times New Roman"/>
        </w:rPr>
        <w:t>(</w:t>
      </w:r>
      <w:r w:rsidR="00DF4050" w:rsidRPr="00723195">
        <w:rPr>
          <w:rFonts w:ascii="Times New Roman" w:hAnsi="Times New Roman" w:cs="Times New Roman"/>
        </w:rPr>
        <w:t>Jakarta : Sinar Grafika Offset</w:t>
      </w:r>
      <w:r w:rsidR="00723195" w:rsidRPr="00723195">
        <w:rPr>
          <w:rFonts w:ascii="Times New Roman" w:hAnsi="Times New Roman" w:cs="Times New Roman"/>
        </w:rPr>
        <w:t>)</w:t>
      </w:r>
      <w:r w:rsidR="00DF4050" w:rsidRPr="00723195">
        <w:rPr>
          <w:rFonts w:ascii="Times New Roman" w:hAnsi="Times New Roman" w:cs="Times New Roman"/>
        </w:rPr>
        <w:t>, 2003,</w:t>
      </w:r>
      <w:r>
        <w:rPr>
          <w:rFonts w:ascii="Times New Roman" w:hAnsi="Times New Roman" w:cs="Times New Roman"/>
        </w:rPr>
        <w:t xml:space="preserve"> h. 72.</w:t>
      </w:r>
    </w:p>
  </w:footnote>
  <w:footnote w:id="9">
    <w:p w:rsidR="00D37B7F" w:rsidRDefault="00D37B7F" w:rsidP="00D37773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723195" w:rsidRDefault="00434552" w:rsidP="00723195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Tim Penyusun Kamus Besar Bahasa Indonesia, </w:t>
      </w:r>
      <w:r w:rsidRPr="008D1CCC">
        <w:rPr>
          <w:rFonts w:ascii="Times New Roman" w:hAnsi="Times New Roman" w:cs="Times New Roman"/>
          <w:i/>
          <w:iCs/>
        </w:rPr>
        <w:t xml:space="preserve">Op. Cit., </w:t>
      </w:r>
      <w:r w:rsidRPr="008D1CCC">
        <w:rPr>
          <w:rFonts w:ascii="Times New Roman" w:hAnsi="Times New Roman" w:cs="Times New Roman"/>
        </w:rPr>
        <w:t>h. 113.</w:t>
      </w:r>
    </w:p>
  </w:footnote>
  <w:footnote w:id="10">
    <w:p w:rsidR="00434552" w:rsidRPr="00723195" w:rsidRDefault="00434552" w:rsidP="00723195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Setiawan , </w:t>
      </w:r>
      <w:r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749</w:t>
      </w:r>
      <w:r w:rsidR="00002E3D">
        <w:rPr>
          <w:rFonts w:ascii="Times New Roman" w:hAnsi="Times New Roman" w:cs="Times New Roman"/>
        </w:rPr>
        <w:t>.</w:t>
      </w:r>
    </w:p>
  </w:footnote>
  <w:footnote w:id="11">
    <w:p w:rsidR="00434552" w:rsidRDefault="00434552" w:rsidP="00002E3D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A. Mukti Arto. </w:t>
      </w:r>
      <w:r w:rsidRPr="008D1CCC">
        <w:rPr>
          <w:rFonts w:ascii="Times New Roman" w:hAnsi="Times New Roman" w:cs="Times New Roman"/>
          <w:i/>
          <w:iCs/>
        </w:rPr>
        <w:t xml:space="preserve">Mencari Keadilan, </w:t>
      </w:r>
      <w:r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67</w:t>
      </w:r>
      <w:r w:rsidR="00002E3D">
        <w:rPr>
          <w:rFonts w:ascii="Times New Roman" w:hAnsi="Times New Roman" w:cs="Times New Roman"/>
        </w:rPr>
        <w:t>.</w:t>
      </w:r>
    </w:p>
    <w:p w:rsidR="00723195" w:rsidRPr="00723195" w:rsidRDefault="00723195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Moh. Taufik Makarao,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 xml:space="preserve">Pokok-Pokok Hukum Acara Perdata, </w:t>
      </w:r>
      <w:r>
        <w:rPr>
          <w:rFonts w:ascii="Times New Roman" w:hAnsi="Times New Roman" w:cs="Times New Roman"/>
          <w:iCs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Jakarta : PT Rineka Cipta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2004,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 xml:space="preserve"> 43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5D48BE" w:rsidRPr="008D1CCC" w:rsidRDefault="005D48BE" w:rsidP="0072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13">
    <w:p w:rsidR="00434552" w:rsidRPr="008D1CCC" w:rsidRDefault="00434552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="00183696" w:rsidRPr="008D1CCC">
        <w:rPr>
          <w:rFonts w:ascii="Times New Roman" w:hAnsi="Times New Roman" w:cs="Times New Roman"/>
          <w:sz w:val="20"/>
          <w:szCs w:val="20"/>
        </w:rPr>
        <w:t>Moh. Taufik Makarao</w:t>
      </w:r>
      <w:r w:rsidR="00183696">
        <w:rPr>
          <w:rFonts w:ascii="Times New Roman" w:hAnsi="Times New Roman" w:cs="Times New Roman"/>
          <w:sz w:val="20"/>
          <w:szCs w:val="20"/>
        </w:rPr>
        <w:t>,</w:t>
      </w:r>
      <w:r w:rsidR="00183696" w:rsidRPr="00183696">
        <w:rPr>
          <w:rFonts w:ascii="Times New Roman" w:hAnsi="Times New Roman" w:cs="Times New Roman"/>
          <w:i/>
          <w:iCs/>
        </w:rPr>
        <w:t xml:space="preserve"> </w:t>
      </w:r>
      <w:r w:rsidR="00183696"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8D1CCC">
        <w:rPr>
          <w:rFonts w:ascii="Times New Roman" w:hAnsi="Times New Roman" w:cs="Times New Roman"/>
          <w:sz w:val="20"/>
          <w:szCs w:val="20"/>
        </w:rPr>
        <w:t>. 43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434552" w:rsidRPr="008D1CCC" w:rsidRDefault="00434552" w:rsidP="00D37773">
      <w:pPr>
        <w:pStyle w:val="FootnoteText"/>
        <w:ind w:firstLine="709"/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.</w:t>
      </w:r>
    </w:p>
  </w:footnote>
  <w:footnote w:id="15">
    <w:p w:rsidR="00434552" w:rsidRDefault="00434552" w:rsidP="00D37773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723195" w:rsidRDefault="00434552" w:rsidP="00723195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Undang-undang </w:t>
      </w:r>
      <w:r>
        <w:rPr>
          <w:rFonts w:ascii="Times New Roman" w:hAnsi="Times New Roman" w:cs="Times New Roman"/>
        </w:rPr>
        <w:t xml:space="preserve"> No. </w:t>
      </w:r>
      <w:r w:rsidRPr="008D1CCC">
        <w:rPr>
          <w:rFonts w:ascii="Times New Roman" w:hAnsi="Times New Roman" w:cs="Times New Roman"/>
        </w:rPr>
        <w:t xml:space="preserve">7 tahun 1989, </w:t>
      </w:r>
      <w:r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>. 32</w:t>
      </w:r>
      <w:r>
        <w:rPr>
          <w:rFonts w:ascii="Times New Roman" w:hAnsi="Times New Roman" w:cs="Times New Roman"/>
        </w:rPr>
        <w:t>.</w:t>
      </w:r>
    </w:p>
  </w:footnote>
  <w:footnote w:id="16">
    <w:p w:rsidR="00E67D6B" w:rsidRDefault="00E67D6B" w:rsidP="00723195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8D1CCC" w:rsidRDefault="00434552" w:rsidP="00723195">
      <w:pPr>
        <w:pStyle w:val="FootnoteText"/>
        <w:ind w:firstLine="709"/>
      </w:pPr>
      <w:r w:rsidRPr="008D1CCC">
        <w:rPr>
          <w:rStyle w:val="FootnoteReference"/>
        </w:rPr>
        <w:footnoteRef/>
      </w:r>
      <w:r w:rsidR="00183696">
        <w:rPr>
          <w:rFonts w:ascii="Times New Roman" w:hAnsi="Times New Roman" w:cs="Times New Roman"/>
        </w:rPr>
        <w:t>A. Mukti Arto,</w:t>
      </w:r>
      <w:r w:rsidRPr="008D1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</w:rPr>
        <w:t xml:space="preserve">h. </w:t>
      </w:r>
      <w:r w:rsidRPr="008D1CCC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.</w:t>
      </w:r>
    </w:p>
  </w:footnote>
  <w:footnote w:id="17">
    <w:p w:rsidR="00B25785" w:rsidRDefault="00B25785" w:rsidP="007A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552" w:rsidRPr="005649D9" w:rsidRDefault="00434552" w:rsidP="0056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Undang-undang No. </w:t>
      </w:r>
      <w:r w:rsidRPr="008D1CCC">
        <w:rPr>
          <w:rFonts w:ascii="Times New Roman" w:hAnsi="Times New Roman" w:cs="Times New Roman"/>
          <w:sz w:val="20"/>
          <w:szCs w:val="20"/>
        </w:rPr>
        <w:t xml:space="preserve">4 Tahun 2004,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Undang-undang Tentang Kekuasaan Kehakiman,</w:t>
      </w:r>
      <w:r w:rsidR="007245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23195">
        <w:rPr>
          <w:rFonts w:ascii="Times New Roman" w:hAnsi="Times New Roman" w:cs="Times New Roman"/>
          <w:iCs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Bandung : Pt Fokus Media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2004, Cet I,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 xml:space="preserve"> 3</w:t>
      </w:r>
      <w:r w:rsidR="00B25785">
        <w:rPr>
          <w:rFonts w:ascii="Times New Roman" w:hAnsi="Times New Roman" w:cs="Times New Roman"/>
          <w:sz w:val="20"/>
          <w:szCs w:val="20"/>
        </w:rPr>
        <w:t>.</w:t>
      </w:r>
    </w:p>
  </w:footnote>
  <w:footnote w:id="18">
    <w:p w:rsidR="00434552" w:rsidRPr="008D1CCC" w:rsidRDefault="00434552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Undang-undang Peradilan Agama </w:t>
      </w:r>
      <w:r>
        <w:rPr>
          <w:rFonts w:ascii="Times New Roman" w:hAnsi="Times New Roman" w:cs="Times New Roman"/>
          <w:sz w:val="20"/>
          <w:szCs w:val="20"/>
        </w:rPr>
        <w:t xml:space="preserve">(UU RI No. </w:t>
      </w:r>
      <w:r w:rsidRPr="008D1CCC">
        <w:rPr>
          <w:rFonts w:ascii="Times New Roman" w:hAnsi="Times New Roman" w:cs="Times New Roman"/>
          <w:sz w:val="20"/>
          <w:szCs w:val="20"/>
        </w:rPr>
        <w:t xml:space="preserve">7 tahun 1989), </w:t>
      </w:r>
      <w:r w:rsidR="00723195">
        <w:rPr>
          <w:rFonts w:ascii="Times New Roman" w:hAnsi="Times New Roman" w:cs="Times New Roman"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Jakarta : PT SinarGrafika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2004,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>. 21</w:t>
      </w:r>
      <w:r w:rsidR="00EA7D1F">
        <w:rPr>
          <w:rFonts w:ascii="Times New Roman" w:hAnsi="Times New Roman" w:cs="Times New Roman"/>
          <w:sz w:val="20"/>
          <w:szCs w:val="20"/>
        </w:rPr>
        <w:t>.</w:t>
      </w:r>
    </w:p>
  </w:footnote>
  <w:footnote w:id="19">
    <w:p w:rsidR="00434552" w:rsidRDefault="00434552" w:rsidP="00D3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4552" w:rsidRPr="008D1CCC" w:rsidRDefault="00434552" w:rsidP="00B0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R. Soeroso,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Praktik Hukum Acara Perdata (Tata Cara Proses Persidangan)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</w:t>
      </w:r>
      <w:r w:rsidR="00723195">
        <w:rPr>
          <w:rFonts w:ascii="Times New Roman" w:hAnsi="Times New Roman" w:cs="Times New Roman"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Jakarta :PT Sinar Grafika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2003,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0">
    <w:p w:rsidR="00434552" w:rsidRPr="008D1CCC" w:rsidRDefault="00434552" w:rsidP="0072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A. Mukti Arto,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Praktek Perkara Perdata (Pada Pengadilan Agama)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</w:t>
      </w:r>
      <w:r w:rsidR="00723195">
        <w:rPr>
          <w:rFonts w:ascii="Times New Roman" w:hAnsi="Times New Roman" w:cs="Times New Roman"/>
          <w:sz w:val="20"/>
          <w:szCs w:val="20"/>
        </w:rPr>
        <w:t>(</w:t>
      </w:r>
      <w:r w:rsidRPr="008D1CCC">
        <w:rPr>
          <w:rFonts w:ascii="Times New Roman" w:hAnsi="Times New Roman" w:cs="Times New Roman"/>
          <w:sz w:val="20"/>
          <w:szCs w:val="20"/>
        </w:rPr>
        <w:t>Yogyakarta :</w:t>
      </w:r>
      <w:r w:rsidR="00F23E8F">
        <w:rPr>
          <w:rFonts w:ascii="Times New Roman" w:hAnsi="Times New Roman" w:cs="Times New Roman"/>
          <w:sz w:val="20"/>
          <w:szCs w:val="20"/>
        </w:rPr>
        <w:t xml:space="preserve"> </w:t>
      </w:r>
      <w:r w:rsidRPr="008D1CCC">
        <w:rPr>
          <w:rFonts w:ascii="Times New Roman" w:hAnsi="Times New Roman" w:cs="Times New Roman"/>
          <w:sz w:val="20"/>
          <w:szCs w:val="20"/>
        </w:rPr>
        <w:t>Pustaka Pelajar</w:t>
      </w:r>
      <w:r w:rsidR="00723195">
        <w:rPr>
          <w:rFonts w:ascii="Times New Roman" w:hAnsi="Times New Roman" w:cs="Times New Roman"/>
          <w:sz w:val="20"/>
          <w:szCs w:val="20"/>
        </w:rPr>
        <w:t>)</w:t>
      </w:r>
      <w:r w:rsidRPr="008D1CCC">
        <w:rPr>
          <w:rFonts w:ascii="Times New Roman" w:hAnsi="Times New Roman" w:cs="Times New Roman"/>
          <w:sz w:val="20"/>
          <w:szCs w:val="20"/>
        </w:rPr>
        <w:t xml:space="preserve">, 1996,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>. 40</w:t>
      </w:r>
      <w:r w:rsidR="00B03871">
        <w:rPr>
          <w:rFonts w:ascii="Times New Roman" w:hAnsi="Times New Roman" w:cs="Times New Roman"/>
          <w:sz w:val="20"/>
          <w:szCs w:val="20"/>
        </w:rPr>
        <w:t>.</w:t>
      </w:r>
    </w:p>
    <w:p w:rsidR="00434552" w:rsidRPr="008D1CCC" w:rsidRDefault="00434552" w:rsidP="00D37773">
      <w:pPr>
        <w:pStyle w:val="FootnoteText"/>
        <w:ind w:firstLine="709"/>
      </w:pPr>
    </w:p>
  </w:footnote>
  <w:footnote w:id="21">
    <w:p w:rsidR="006C7761" w:rsidRDefault="006C7761" w:rsidP="00D3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4552" w:rsidRPr="008D1CCC" w:rsidRDefault="00434552" w:rsidP="00D3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Mahkamah Agung,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Pedomen Pelaksanaan Tugas dan Administrasi Pengadilan Buku II</w:t>
      </w:r>
      <w:r w:rsidRPr="008D1CCC">
        <w:rPr>
          <w:rFonts w:ascii="Times New Roman" w:hAnsi="Times New Roman" w:cs="Times New Roman"/>
          <w:sz w:val="20"/>
          <w:szCs w:val="20"/>
        </w:rPr>
        <w:t xml:space="preserve">, 1997, Cet ke-2,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 xml:space="preserve"> 40</w:t>
      </w:r>
    </w:p>
  </w:footnote>
  <w:footnote w:id="22">
    <w:p w:rsidR="002024BB" w:rsidRPr="00E67D6B" w:rsidRDefault="00434552" w:rsidP="00E67D6B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  <w:i/>
          <w:iCs/>
        </w:rPr>
        <w:t xml:space="preserve">Ibid </w:t>
      </w:r>
      <w:r w:rsidR="0052321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43</w:t>
      </w:r>
      <w:r w:rsidR="00F82E0B">
        <w:rPr>
          <w:rFonts w:ascii="Times New Roman" w:hAnsi="Times New Roman" w:cs="Times New Roman"/>
        </w:rPr>
        <w:t>.</w:t>
      </w:r>
    </w:p>
  </w:footnote>
  <w:footnote w:id="23">
    <w:p w:rsidR="006C7761" w:rsidRDefault="006C7761" w:rsidP="00D37773">
      <w:pPr>
        <w:pStyle w:val="FootnoteText"/>
        <w:ind w:firstLine="709"/>
        <w:rPr>
          <w:rFonts w:ascii="Times New Roman" w:hAnsi="Times New Roman" w:cs="Times New Roman"/>
          <w:i/>
          <w:iCs/>
        </w:rPr>
      </w:pPr>
    </w:p>
    <w:p w:rsidR="00434552" w:rsidRPr="008D1CCC" w:rsidRDefault="00434552" w:rsidP="00D37773">
      <w:pPr>
        <w:pStyle w:val="FootnoteText"/>
        <w:ind w:firstLine="709"/>
      </w:pPr>
      <w:r w:rsidRPr="008D1CCC">
        <w:rPr>
          <w:rStyle w:val="FootnoteReference"/>
        </w:rPr>
        <w:footnoteRef/>
      </w:r>
      <w:r w:rsidR="00183696" w:rsidRPr="00183696">
        <w:rPr>
          <w:rFonts w:ascii="Times New Roman" w:hAnsi="Times New Roman" w:cs="Times New Roman"/>
        </w:rPr>
        <w:t xml:space="preserve"> </w:t>
      </w:r>
      <w:r w:rsidR="00183696" w:rsidRPr="008D1CCC">
        <w:rPr>
          <w:rFonts w:ascii="Times New Roman" w:hAnsi="Times New Roman" w:cs="Times New Roman"/>
        </w:rPr>
        <w:t>Mahkamah Agung</w:t>
      </w:r>
      <w:r w:rsidR="0052321E">
        <w:rPr>
          <w:rFonts w:ascii="Times New Roman" w:hAnsi="Times New Roman" w:cs="Times New Roman"/>
          <w:i/>
          <w:iCs/>
        </w:rPr>
        <w:t xml:space="preserve"> </w:t>
      </w:r>
      <w:r w:rsidR="00183696">
        <w:rPr>
          <w:rFonts w:ascii="Times New Roman" w:hAnsi="Times New Roman" w:cs="Times New Roman"/>
          <w:i/>
          <w:iCs/>
        </w:rPr>
        <w:t>, Op. Cit.,</w:t>
      </w:r>
      <w:r w:rsidR="00183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41</w:t>
      </w:r>
      <w:r w:rsidR="00F82E0B">
        <w:rPr>
          <w:rFonts w:ascii="Times New Roman" w:hAnsi="Times New Roman" w:cs="Times New Roman"/>
        </w:rPr>
        <w:t>.</w:t>
      </w:r>
    </w:p>
  </w:footnote>
  <w:footnote w:id="24">
    <w:p w:rsidR="00BD0A3A" w:rsidRPr="00E67D6B" w:rsidRDefault="00434552" w:rsidP="00E67D6B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  <w:i/>
          <w:iCs/>
        </w:rPr>
        <w:t xml:space="preserve">Ibid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98</w:t>
      </w:r>
      <w:r w:rsidR="00997FED">
        <w:rPr>
          <w:rFonts w:ascii="Times New Roman" w:hAnsi="Times New Roman" w:cs="Times New Roman"/>
        </w:rPr>
        <w:t>.</w:t>
      </w:r>
    </w:p>
  </w:footnote>
  <w:footnote w:id="25">
    <w:p w:rsidR="006C7761" w:rsidRDefault="006C7761" w:rsidP="00BD0A3A">
      <w:pPr>
        <w:pStyle w:val="FootnoteText"/>
        <w:ind w:firstLine="709"/>
        <w:rPr>
          <w:rFonts w:ascii="Times New Roman" w:hAnsi="Times New Roman" w:cs="Times New Roman"/>
        </w:rPr>
      </w:pPr>
    </w:p>
    <w:p w:rsidR="00BD0A3A" w:rsidRPr="00BD0A3A" w:rsidRDefault="00434552" w:rsidP="00BD0A3A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A. Mukti Arto, </w:t>
      </w:r>
      <w:r w:rsidR="00BD0A3A">
        <w:rPr>
          <w:rFonts w:ascii="Times New Roman" w:hAnsi="Times New Roman" w:cs="Times New Roman"/>
          <w:i/>
          <w:iCs/>
        </w:rPr>
        <w:t>Op. Cit.</w:t>
      </w:r>
      <w:r w:rsidRPr="008D1C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56</w:t>
      </w:r>
    </w:p>
  </w:footnote>
  <w:footnote w:id="26">
    <w:p w:rsidR="00BD0A3A" w:rsidRPr="00BD0A3A" w:rsidRDefault="00434552" w:rsidP="00E67D6B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="00183696">
        <w:rPr>
          <w:rFonts w:ascii="Times New Roman" w:hAnsi="Times New Roman" w:cs="Times New Roman"/>
        </w:rPr>
        <w:t>Mahkamah Agung,</w:t>
      </w:r>
      <w:r w:rsidRPr="008D1CCC">
        <w:rPr>
          <w:rFonts w:ascii="Times New Roman" w:hAnsi="Times New Roman" w:cs="Times New Roman"/>
        </w:rPr>
        <w:t xml:space="preserve"> </w:t>
      </w:r>
      <w:r w:rsidRPr="00183696">
        <w:rPr>
          <w:rFonts w:ascii="Times New Roman" w:hAnsi="Times New Roman" w:cs="Times New Roman"/>
          <w:i/>
        </w:rPr>
        <w:t>Op. Cit</w:t>
      </w:r>
      <w:r>
        <w:rPr>
          <w:rFonts w:ascii="Times New Roman" w:hAnsi="Times New Roman" w:cs="Times New Roman"/>
        </w:rPr>
        <w:t>.,h.</w:t>
      </w:r>
      <w:r w:rsidRPr="008D1CCC">
        <w:rPr>
          <w:rFonts w:ascii="Times New Roman" w:hAnsi="Times New Roman" w:cs="Times New Roman"/>
        </w:rPr>
        <w:t xml:space="preserve"> 97</w:t>
      </w:r>
      <w:r w:rsidR="00BD0A3A">
        <w:rPr>
          <w:rFonts w:ascii="Times New Roman" w:hAnsi="Times New Roman" w:cs="Times New Roman"/>
        </w:rPr>
        <w:t>.</w:t>
      </w:r>
    </w:p>
  </w:footnote>
  <w:footnote w:id="27">
    <w:p w:rsidR="00997FED" w:rsidRDefault="00997FED" w:rsidP="00D37773">
      <w:pPr>
        <w:pStyle w:val="FootnoteText"/>
        <w:ind w:firstLine="709"/>
        <w:rPr>
          <w:rFonts w:ascii="Times New Roman" w:hAnsi="Times New Roman" w:cs="Times New Roman"/>
          <w:i/>
          <w:iCs/>
        </w:rPr>
      </w:pPr>
    </w:p>
    <w:p w:rsidR="00434552" w:rsidRPr="008D1CCC" w:rsidRDefault="00434552" w:rsidP="00D37773">
      <w:pPr>
        <w:pStyle w:val="FootnoteText"/>
        <w:ind w:firstLine="709"/>
      </w:pPr>
      <w:r w:rsidRPr="008D1CCC">
        <w:rPr>
          <w:rStyle w:val="FootnoteReference"/>
        </w:rPr>
        <w:footnoteRef/>
      </w:r>
      <w:r w:rsidR="00183696" w:rsidRPr="00183696">
        <w:rPr>
          <w:rFonts w:ascii="Times New Roman" w:hAnsi="Times New Roman" w:cs="Times New Roman"/>
        </w:rPr>
        <w:t xml:space="preserve"> </w:t>
      </w:r>
      <w:r w:rsidR="00183696">
        <w:rPr>
          <w:rFonts w:ascii="Times New Roman" w:hAnsi="Times New Roman" w:cs="Times New Roman"/>
        </w:rPr>
        <w:t>Mahkamah Agung,</w:t>
      </w:r>
      <w:r w:rsidR="00183696" w:rsidRPr="008D1CCC">
        <w:rPr>
          <w:rFonts w:ascii="Times New Roman" w:hAnsi="Times New Roman" w:cs="Times New Roman"/>
        </w:rPr>
        <w:t xml:space="preserve"> </w:t>
      </w:r>
      <w:r w:rsidR="00183696" w:rsidRPr="00183696">
        <w:rPr>
          <w:rFonts w:ascii="Times New Roman" w:hAnsi="Times New Roman" w:cs="Times New Roman"/>
          <w:i/>
        </w:rPr>
        <w:t>Op. Cit</w:t>
      </w:r>
      <w:r w:rsidR="00183696">
        <w:rPr>
          <w:rFonts w:ascii="Times New Roman" w:hAnsi="Times New Roman" w:cs="Times New Roman"/>
        </w:rPr>
        <w:t>.,</w:t>
      </w:r>
      <w:r w:rsidRPr="008D1C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99-100</w:t>
      </w:r>
      <w:r w:rsidR="00997FED">
        <w:rPr>
          <w:rFonts w:ascii="Times New Roman" w:hAnsi="Times New Roman" w:cs="Times New Roman"/>
        </w:rPr>
        <w:t>.</w:t>
      </w:r>
    </w:p>
  </w:footnote>
  <w:footnote w:id="28">
    <w:p w:rsidR="00434552" w:rsidRPr="00BD0A3A" w:rsidRDefault="00434552" w:rsidP="0071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 xml:space="preserve">Ibid </w:t>
      </w:r>
      <w:r>
        <w:rPr>
          <w:rFonts w:ascii="Times New Roman" w:hAnsi="Times New Roman" w:cs="Times New Roman"/>
          <w:sz w:val="20"/>
          <w:szCs w:val="20"/>
        </w:rPr>
        <w:t>h.</w:t>
      </w:r>
      <w:r w:rsidR="00BD0A3A">
        <w:rPr>
          <w:rFonts w:ascii="Times New Roman" w:hAnsi="Times New Roman" w:cs="Times New Roman"/>
          <w:sz w:val="20"/>
          <w:szCs w:val="20"/>
        </w:rPr>
        <w:t xml:space="preserve"> 42</w:t>
      </w:r>
      <w:r w:rsidR="00997FED">
        <w:rPr>
          <w:rFonts w:ascii="Times New Roman" w:hAnsi="Times New Roman" w:cs="Times New Roman"/>
          <w:sz w:val="20"/>
          <w:szCs w:val="20"/>
        </w:rPr>
        <w:t>.</w:t>
      </w:r>
    </w:p>
  </w:footnote>
  <w:footnote w:id="29">
    <w:p w:rsidR="009E02B8" w:rsidRDefault="009E02B8" w:rsidP="00D37773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8D1CCC" w:rsidRDefault="00434552" w:rsidP="00D37773">
      <w:pPr>
        <w:pStyle w:val="FootnoteText"/>
        <w:ind w:firstLine="709"/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A. Mukti Arto, </w:t>
      </w:r>
      <w:r>
        <w:rPr>
          <w:rFonts w:ascii="Times New Roman" w:hAnsi="Times New Roman" w:cs="Times New Roman"/>
          <w:i/>
          <w:iCs/>
        </w:rPr>
        <w:t>Op. Cit.,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83</w:t>
      </w:r>
      <w:r w:rsidR="009E02B8">
        <w:rPr>
          <w:rFonts w:ascii="Times New Roman" w:hAnsi="Times New Roman" w:cs="Times New Roman"/>
        </w:rPr>
        <w:t>.</w:t>
      </w:r>
    </w:p>
  </w:footnote>
  <w:footnote w:id="30">
    <w:p w:rsidR="00360039" w:rsidRDefault="00360039" w:rsidP="00D3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0039" w:rsidRPr="008D1CCC" w:rsidRDefault="00434552" w:rsidP="000F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C">
        <w:rPr>
          <w:rStyle w:val="FootnoteReference"/>
          <w:sz w:val="20"/>
          <w:szCs w:val="20"/>
        </w:rPr>
        <w:footnoteRef/>
      </w:r>
      <w:r w:rsidRPr="008D1CCC">
        <w:rPr>
          <w:rFonts w:ascii="Times New Roman" w:hAnsi="Times New Roman" w:cs="Times New Roman"/>
          <w:sz w:val="20"/>
          <w:szCs w:val="20"/>
        </w:rPr>
        <w:t xml:space="preserve">Undang-undang-undang No 7 Tahun 1989, </w:t>
      </w:r>
      <w:r w:rsidRPr="008D1CCC">
        <w:rPr>
          <w:rFonts w:ascii="Times New Roman" w:hAnsi="Times New Roman" w:cs="Times New Roman"/>
          <w:i/>
          <w:iCs/>
          <w:sz w:val="20"/>
          <w:szCs w:val="20"/>
        </w:rPr>
        <w:t>Op. cit</w:t>
      </w:r>
      <w:r w:rsidRPr="008D1CCC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h.</w:t>
      </w:r>
      <w:r w:rsidRPr="008D1CCC">
        <w:rPr>
          <w:rFonts w:ascii="Times New Roman" w:hAnsi="Times New Roman" w:cs="Times New Roman"/>
          <w:sz w:val="20"/>
          <w:szCs w:val="20"/>
        </w:rPr>
        <w:t xml:space="preserve"> 28</w:t>
      </w:r>
      <w:r w:rsidR="00360039">
        <w:rPr>
          <w:rFonts w:ascii="Times New Roman" w:hAnsi="Times New Roman" w:cs="Times New Roman"/>
          <w:sz w:val="20"/>
          <w:szCs w:val="20"/>
        </w:rPr>
        <w:t>.</w:t>
      </w:r>
    </w:p>
  </w:footnote>
  <w:footnote w:id="31">
    <w:p w:rsidR="00FB5F64" w:rsidRDefault="00FB5F64" w:rsidP="00183696">
      <w:pPr>
        <w:pStyle w:val="FootnoteText"/>
        <w:ind w:firstLine="709"/>
        <w:rPr>
          <w:rFonts w:ascii="Times New Roman" w:hAnsi="Times New Roman" w:cs="Times New Roman"/>
        </w:rPr>
      </w:pPr>
    </w:p>
    <w:p w:rsidR="00434552" w:rsidRPr="008D1CCC" w:rsidRDefault="00434552" w:rsidP="00183696">
      <w:pPr>
        <w:pStyle w:val="FootnoteText"/>
        <w:ind w:firstLine="709"/>
      </w:pPr>
      <w:r w:rsidRPr="008D1CCC">
        <w:rPr>
          <w:rStyle w:val="FootnoteReference"/>
        </w:rPr>
        <w:footnoteRef/>
      </w:r>
      <w:r w:rsidRPr="008D1CCC">
        <w:rPr>
          <w:rFonts w:ascii="Times New Roman" w:hAnsi="Times New Roman" w:cs="Times New Roman"/>
        </w:rPr>
        <w:t xml:space="preserve">Depag RI, </w:t>
      </w:r>
      <w:r w:rsidRPr="008D1CCC">
        <w:rPr>
          <w:rFonts w:ascii="Times New Roman" w:hAnsi="Times New Roman" w:cs="Times New Roman"/>
          <w:i/>
          <w:iCs/>
        </w:rPr>
        <w:t>Al-Quran dan Terjemahnya</w:t>
      </w:r>
      <w:r w:rsidRPr="008D1CCC">
        <w:rPr>
          <w:rFonts w:ascii="Times New Roman" w:hAnsi="Times New Roman" w:cs="Times New Roman"/>
        </w:rPr>
        <w:t xml:space="preserve">, </w:t>
      </w:r>
      <w:r w:rsidR="00183696">
        <w:rPr>
          <w:rFonts w:ascii="Times New Roman" w:hAnsi="Times New Roman" w:cs="Times New Roman"/>
        </w:rPr>
        <w:t>(</w:t>
      </w:r>
      <w:r w:rsidRPr="008D1CCC">
        <w:rPr>
          <w:rFonts w:ascii="Times New Roman" w:hAnsi="Times New Roman" w:cs="Times New Roman"/>
        </w:rPr>
        <w:t>Bandung : CV Diponegoro</w:t>
      </w:r>
      <w:r w:rsidR="00183696">
        <w:rPr>
          <w:rFonts w:ascii="Times New Roman" w:hAnsi="Times New Roman" w:cs="Times New Roman"/>
        </w:rPr>
        <w:t>)</w:t>
      </w:r>
      <w:r w:rsidRPr="008D1CCC">
        <w:rPr>
          <w:rFonts w:ascii="Times New Roman" w:hAnsi="Times New Roman" w:cs="Times New Roman"/>
        </w:rPr>
        <w:t xml:space="preserve">, 2000,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88</w:t>
      </w:r>
      <w:r w:rsidR="00360039">
        <w:rPr>
          <w:rFonts w:ascii="Times New Roman" w:hAnsi="Times New Roman" w:cs="Times New Roman"/>
        </w:rPr>
        <w:t>.</w:t>
      </w:r>
    </w:p>
  </w:footnote>
  <w:footnote w:id="32">
    <w:p w:rsidR="003D3062" w:rsidRDefault="003D3062" w:rsidP="006A45FD">
      <w:pPr>
        <w:pStyle w:val="FootnoteText"/>
        <w:rPr>
          <w:rFonts w:ascii="Times New Roman" w:hAnsi="Times New Roman" w:cs="Times New Roman"/>
          <w:i/>
          <w:iCs/>
        </w:rPr>
      </w:pPr>
    </w:p>
    <w:p w:rsidR="0081008C" w:rsidRPr="00FF13BE" w:rsidRDefault="00434552" w:rsidP="003D3062">
      <w:pPr>
        <w:pStyle w:val="FootnoteText"/>
        <w:ind w:firstLine="709"/>
        <w:rPr>
          <w:rFonts w:ascii="Times New Roman" w:hAnsi="Times New Roman" w:cs="Times New Roman"/>
        </w:rPr>
      </w:pPr>
      <w:r w:rsidRPr="008D1CCC">
        <w:rPr>
          <w:rStyle w:val="FootnoteReference"/>
        </w:rPr>
        <w:footnoteRef/>
      </w:r>
      <w:r w:rsidR="00183696" w:rsidRPr="00183696">
        <w:rPr>
          <w:rFonts w:ascii="Times New Roman" w:hAnsi="Times New Roman" w:cs="Times New Roman"/>
        </w:rPr>
        <w:t xml:space="preserve"> </w:t>
      </w:r>
      <w:r w:rsidR="00183696" w:rsidRPr="008D1CCC">
        <w:rPr>
          <w:rFonts w:ascii="Times New Roman" w:hAnsi="Times New Roman" w:cs="Times New Roman"/>
        </w:rPr>
        <w:t>Depag RI</w:t>
      </w:r>
      <w:r w:rsidR="00183696">
        <w:rPr>
          <w:rFonts w:ascii="Times New Roman" w:hAnsi="Times New Roman" w:cs="Times New Roman"/>
        </w:rPr>
        <w:t xml:space="preserve"> , </w:t>
      </w:r>
      <w:r w:rsidR="00183696">
        <w:rPr>
          <w:rFonts w:ascii="Times New Roman" w:hAnsi="Times New Roman" w:cs="Times New Roman"/>
          <w:i/>
        </w:rPr>
        <w:t xml:space="preserve">Op. Cit., </w:t>
      </w:r>
      <w:r>
        <w:rPr>
          <w:rFonts w:ascii="Times New Roman" w:hAnsi="Times New Roman" w:cs="Times New Roman"/>
        </w:rPr>
        <w:t>h.</w:t>
      </w:r>
      <w:r w:rsidRPr="008D1CCC">
        <w:rPr>
          <w:rFonts w:ascii="Times New Roman" w:hAnsi="Times New Roman" w:cs="Times New Roman"/>
        </w:rPr>
        <w:t xml:space="preserve"> 116</w:t>
      </w:r>
      <w:r w:rsidR="00FF13BE">
        <w:rPr>
          <w:rFonts w:ascii="Times New Roman" w:hAnsi="Times New Roman" w:cs="Times New Roman"/>
        </w:rPr>
        <w:t>.</w:t>
      </w:r>
    </w:p>
  </w:footnote>
  <w:footnote w:id="33">
    <w:p w:rsidR="00FF13BE" w:rsidRDefault="00FF13BE" w:rsidP="003D3062">
      <w:pPr>
        <w:autoSpaceDE w:val="0"/>
        <w:autoSpaceDN w:val="0"/>
        <w:adjustRightInd w:val="0"/>
        <w:spacing w:after="0" w:line="240" w:lineRule="auto"/>
        <w:jc w:val="both"/>
      </w:pPr>
    </w:p>
    <w:p w:rsidR="00434552" w:rsidRPr="005C1615" w:rsidRDefault="00434552" w:rsidP="0035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otnoteReference"/>
        </w:rPr>
        <w:footnoteRef/>
      </w:r>
      <w:r w:rsidRPr="005C1615">
        <w:rPr>
          <w:rFonts w:ascii="Times New Roman" w:hAnsi="Times New Roman" w:cs="Times New Roman"/>
          <w:sz w:val="20"/>
          <w:szCs w:val="24"/>
        </w:rPr>
        <w:t xml:space="preserve">Hudharabik alih bahasa oleh Muhammad Zuhri, </w:t>
      </w:r>
      <w:r w:rsidRPr="005C1615">
        <w:rPr>
          <w:rFonts w:ascii="Times New Roman" w:hAnsi="Times New Roman" w:cs="Times New Roman"/>
          <w:i/>
          <w:iCs/>
          <w:sz w:val="20"/>
          <w:szCs w:val="24"/>
        </w:rPr>
        <w:t>Tarikh Al-Tasri</w:t>
      </w:r>
      <w:r w:rsidR="0035749A">
        <w:rPr>
          <w:rFonts w:ascii="Times New Roman" w:hAnsi="Times New Roman" w:cs="Times New Roman"/>
          <w:i/>
          <w:iCs/>
          <w:sz w:val="20"/>
          <w:szCs w:val="24"/>
        </w:rPr>
        <w:t xml:space="preserve">’ </w:t>
      </w:r>
      <w:r w:rsidRPr="005C1615">
        <w:rPr>
          <w:rFonts w:ascii="Times New Roman" w:hAnsi="Times New Roman" w:cs="Times New Roman"/>
          <w:i/>
          <w:iCs/>
          <w:sz w:val="20"/>
          <w:szCs w:val="24"/>
        </w:rPr>
        <w:t>Sejarah Pembinaan Hukum Islam</w:t>
      </w:r>
      <w:r w:rsidRPr="005C1615">
        <w:rPr>
          <w:rFonts w:ascii="Times New Roman" w:hAnsi="Times New Roman" w:cs="Times New Roman"/>
          <w:sz w:val="20"/>
          <w:szCs w:val="24"/>
        </w:rPr>
        <w:t xml:space="preserve">, </w:t>
      </w:r>
      <w:r w:rsidR="0071039C">
        <w:rPr>
          <w:rFonts w:ascii="Times New Roman" w:hAnsi="Times New Roman" w:cs="Times New Roman"/>
          <w:sz w:val="20"/>
          <w:szCs w:val="24"/>
        </w:rPr>
        <w:t>(Semarang</w:t>
      </w:r>
      <w:r>
        <w:rPr>
          <w:rFonts w:ascii="Times New Roman" w:hAnsi="Times New Roman" w:cs="Times New Roman"/>
          <w:sz w:val="20"/>
          <w:szCs w:val="24"/>
        </w:rPr>
        <w:t xml:space="preserve"> : Darul Ihya</w:t>
      </w:r>
      <w:r w:rsidR="0071039C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>, 1980, h.</w:t>
      </w:r>
      <w:r w:rsidRPr="005C1615">
        <w:rPr>
          <w:rFonts w:ascii="Times New Roman" w:hAnsi="Times New Roman" w:cs="Times New Roman"/>
          <w:sz w:val="20"/>
          <w:szCs w:val="24"/>
        </w:rPr>
        <w:t xml:space="preserve"> 230</w:t>
      </w:r>
      <w:r w:rsidR="00FF13BE">
        <w:rPr>
          <w:rFonts w:ascii="Times New Roman" w:hAnsi="Times New Roman" w:cs="Times New Roman"/>
          <w:sz w:val="20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86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F90" w:rsidRDefault="00A81BE8">
        <w:pPr>
          <w:pStyle w:val="Header"/>
          <w:jc w:val="right"/>
        </w:pPr>
        <w:r>
          <w:fldChar w:fldCharType="begin"/>
        </w:r>
        <w:r w:rsidR="007C7F90">
          <w:instrText xml:space="preserve"> PAGE   \* MERGEFORMAT </w:instrText>
        </w:r>
        <w:r>
          <w:fldChar w:fldCharType="separate"/>
        </w:r>
        <w:r w:rsidR="000614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4552" w:rsidRPr="0009386C" w:rsidRDefault="00434552" w:rsidP="00997734">
    <w:pPr>
      <w:pStyle w:val="Header"/>
      <w:tabs>
        <w:tab w:val="left" w:pos="7170"/>
      </w:tabs>
      <w:rPr>
        <w:rFonts w:ascii="Times New Roman" w:hAnsi="Times New Roman" w:cs="Times New Roman"/>
        <w:sz w:val="24"/>
        <w:szCs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23A"/>
    <w:multiLevelType w:val="hybridMultilevel"/>
    <w:tmpl w:val="7B62F5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9E8"/>
    <w:multiLevelType w:val="hybridMultilevel"/>
    <w:tmpl w:val="C3AE8F66"/>
    <w:lvl w:ilvl="0" w:tplc="B576E30E">
      <w:start w:val="1"/>
      <w:numFmt w:val="decimal"/>
      <w:lvlText w:val="%1."/>
      <w:lvlJc w:val="left"/>
      <w:pPr>
        <w:ind w:left="2544" w:hanging="141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2D3ED9"/>
    <w:multiLevelType w:val="hybridMultilevel"/>
    <w:tmpl w:val="D750BC78"/>
    <w:lvl w:ilvl="0" w:tplc="47EA4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8857F0"/>
    <w:multiLevelType w:val="hybridMultilevel"/>
    <w:tmpl w:val="3A1A7FD4"/>
    <w:lvl w:ilvl="0" w:tplc="636EF5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3F1D"/>
    <w:multiLevelType w:val="hybridMultilevel"/>
    <w:tmpl w:val="FC5AA310"/>
    <w:lvl w:ilvl="0" w:tplc="04210015">
      <w:start w:val="1"/>
      <w:numFmt w:val="upp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27F3E01"/>
    <w:multiLevelType w:val="hybridMultilevel"/>
    <w:tmpl w:val="B7C449A4"/>
    <w:lvl w:ilvl="0" w:tplc="03064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25416F"/>
    <w:multiLevelType w:val="hybridMultilevel"/>
    <w:tmpl w:val="647C6A84"/>
    <w:lvl w:ilvl="0" w:tplc="0DA0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A617E"/>
    <w:multiLevelType w:val="hybridMultilevel"/>
    <w:tmpl w:val="F4ACFDE2"/>
    <w:lvl w:ilvl="0" w:tplc="04210017">
      <w:start w:val="1"/>
      <w:numFmt w:val="lowerLetter"/>
      <w:lvlText w:val="%1)"/>
      <w:lvlJc w:val="left"/>
      <w:pPr>
        <w:ind w:left="1386" w:hanging="360"/>
      </w:pPr>
    </w:lvl>
    <w:lvl w:ilvl="1" w:tplc="04210019" w:tentative="1">
      <w:start w:val="1"/>
      <w:numFmt w:val="lowerLetter"/>
      <w:lvlText w:val="%2."/>
      <w:lvlJc w:val="left"/>
      <w:pPr>
        <w:ind w:left="2106" w:hanging="360"/>
      </w:pPr>
    </w:lvl>
    <w:lvl w:ilvl="2" w:tplc="0421001B" w:tentative="1">
      <w:start w:val="1"/>
      <w:numFmt w:val="lowerRoman"/>
      <w:lvlText w:val="%3."/>
      <w:lvlJc w:val="right"/>
      <w:pPr>
        <w:ind w:left="2826" w:hanging="180"/>
      </w:pPr>
    </w:lvl>
    <w:lvl w:ilvl="3" w:tplc="0421000F" w:tentative="1">
      <w:start w:val="1"/>
      <w:numFmt w:val="decimal"/>
      <w:lvlText w:val="%4."/>
      <w:lvlJc w:val="left"/>
      <w:pPr>
        <w:ind w:left="3546" w:hanging="360"/>
      </w:pPr>
    </w:lvl>
    <w:lvl w:ilvl="4" w:tplc="04210019" w:tentative="1">
      <w:start w:val="1"/>
      <w:numFmt w:val="lowerLetter"/>
      <w:lvlText w:val="%5."/>
      <w:lvlJc w:val="left"/>
      <w:pPr>
        <w:ind w:left="4266" w:hanging="360"/>
      </w:pPr>
    </w:lvl>
    <w:lvl w:ilvl="5" w:tplc="0421001B" w:tentative="1">
      <w:start w:val="1"/>
      <w:numFmt w:val="lowerRoman"/>
      <w:lvlText w:val="%6."/>
      <w:lvlJc w:val="right"/>
      <w:pPr>
        <w:ind w:left="4986" w:hanging="180"/>
      </w:pPr>
    </w:lvl>
    <w:lvl w:ilvl="6" w:tplc="0421000F" w:tentative="1">
      <w:start w:val="1"/>
      <w:numFmt w:val="decimal"/>
      <w:lvlText w:val="%7."/>
      <w:lvlJc w:val="left"/>
      <w:pPr>
        <w:ind w:left="5706" w:hanging="360"/>
      </w:pPr>
    </w:lvl>
    <w:lvl w:ilvl="7" w:tplc="04210019" w:tentative="1">
      <w:start w:val="1"/>
      <w:numFmt w:val="lowerLetter"/>
      <w:lvlText w:val="%8."/>
      <w:lvlJc w:val="left"/>
      <w:pPr>
        <w:ind w:left="6426" w:hanging="360"/>
      </w:pPr>
    </w:lvl>
    <w:lvl w:ilvl="8" w:tplc="0421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">
    <w:nsid w:val="2C736611"/>
    <w:multiLevelType w:val="hybridMultilevel"/>
    <w:tmpl w:val="B2A4ACF0"/>
    <w:lvl w:ilvl="0" w:tplc="AE3A6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83A6A"/>
    <w:multiLevelType w:val="hybridMultilevel"/>
    <w:tmpl w:val="2D42B580"/>
    <w:lvl w:ilvl="0" w:tplc="940E69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E77F42"/>
    <w:multiLevelType w:val="hybridMultilevel"/>
    <w:tmpl w:val="99CA871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81721E"/>
    <w:multiLevelType w:val="hybridMultilevel"/>
    <w:tmpl w:val="FC5848E6"/>
    <w:lvl w:ilvl="0" w:tplc="F5729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18D0C0E"/>
    <w:multiLevelType w:val="hybridMultilevel"/>
    <w:tmpl w:val="390CEFB0"/>
    <w:lvl w:ilvl="0" w:tplc="258CB8C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290E81"/>
    <w:multiLevelType w:val="hybridMultilevel"/>
    <w:tmpl w:val="19449D14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E1939D0"/>
    <w:multiLevelType w:val="hybridMultilevel"/>
    <w:tmpl w:val="418E38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51158"/>
    <w:multiLevelType w:val="hybridMultilevel"/>
    <w:tmpl w:val="9B80E686"/>
    <w:lvl w:ilvl="0" w:tplc="5408342E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1F4736B"/>
    <w:multiLevelType w:val="hybridMultilevel"/>
    <w:tmpl w:val="29562466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30C6270"/>
    <w:multiLevelType w:val="hybridMultilevel"/>
    <w:tmpl w:val="BBBEE148"/>
    <w:lvl w:ilvl="0" w:tplc="37D20572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A06795B"/>
    <w:multiLevelType w:val="hybridMultilevel"/>
    <w:tmpl w:val="62C47FB0"/>
    <w:lvl w:ilvl="0" w:tplc="24D2F5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0"/>
  </w:num>
  <w:num w:numId="5">
    <w:abstractNumId w:val="17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6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B3"/>
    <w:rsid w:val="00002E3D"/>
    <w:rsid w:val="00007642"/>
    <w:rsid w:val="00010E00"/>
    <w:rsid w:val="000207C4"/>
    <w:rsid w:val="00021092"/>
    <w:rsid w:val="00021331"/>
    <w:rsid w:val="00021FE9"/>
    <w:rsid w:val="000367FB"/>
    <w:rsid w:val="00037BEC"/>
    <w:rsid w:val="0004428B"/>
    <w:rsid w:val="0005349A"/>
    <w:rsid w:val="000542F4"/>
    <w:rsid w:val="000558E1"/>
    <w:rsid w:val="00057B7F"/>
    <w:rsid w:val="00057CB0"/>
    <w:rsid w:val="0006143F"/>
    <w:rsid w:val="00063DC9"/>
    <w:rsid w:val="000664AC"/>
    <w:rsid w:val="00071539"/>
    <w:rsid w:val="0008333E"/>
    <w:rsid w:val="0009386C"/>
    <w:rsid w:val="000957F8"/>
    <w:rsid w:val="00097AA1"/>
    <w:rsid w:val="000A2DEC"/>
    <w:rsid w:val="000A5F63"/>
    <w:rsid w:val="000A6FF5"/>
    <w:rsid w:val="000C4239"/>
    <w:rsid w:val="000C60E5"/>
    <w:rsid w:val="000C7ED9"/>
    <w:rsid w:val="000D02E2"/>
    <w:rsid w:val="000D0949"/>
    <w:rsid w:val="000D2674"/>
    <w:rsid w:val="000E519D"/>
    <w:rsid w:val="000F0A3C"/>
    <w:rsid w:val="001018D4"/>
    <w:rsid w:val="00103037"/>
    <w:rsid w:val="001032D8"/>
    <w:rsid w:val="00107F1F"/>
    <w:rsid w:val="001206DC"/>
    <w:rsid w:val="00125E64"/>
    <w:rsid w:val="00130257"/>
    <w:rsid w:val="00134AB3"/>
    <w:rsid w:val="00137DC9"/>
    <w:rsid w:val="00143887"/>
    <w:rsid w:val="00143AAE"/>
    <w:rsid w:val="00145FBA"/>
    <w:rsid w:val="00151AB5"/>
    <w:rsid w:val="001728CA"/>
    <w:rsid w:val="00183696"/>
    <w:rsid w:val="0019053A"/>
    <w:rsid w:val="00193FA7"/>
    <w:rsid w:val="0019425B"/>
    <w:rsid w:val="0019571A"/>
    <w:rsid w:val="001A4676"/>
    <w:rsid w:val="001A529F"/>
    <w:rsid w:val="001B65C6"/>
    <w:rsid w:val="001C712F"/>
    <w:rsid w:val="001D253F"/>
    <w:rsid w:val="001D2737"/>
    <w:rsid w:val="001D52F3"/>
    <w:rsid w:val="001D6741"/>
    <w:rsid w:val="001E1BC6"/>
    <w:rsid w:val="001F4652"/>
    <w:rsid w:val="002024BB"/>
    <w:rsid w:val="002135E1"/>
    <w:rsid w:val="00234C84"/>
    <w:rsid w:val="00242606"/>
    <w:rsid w:val="00243D1C"/>
    <w:rsid w:val="00255120"/>
    <w:rsid w:val="00275C5F"/>
    <w:rsid w:val="0027681E"/>
    <w:rsid w:val="0028118C"/>
    <w:rsid w:val="002857EE"/>
    <w:rsid w:val="002965A1"/>
    <w:rsid w:val="00296C8D"/>
    <w:rsid w:val="002A1157"/>
    <w:rsid w:val="002B57E5"/>
    <w:rsid w:val="002C29B6"/>
    <w:rsid w:val="002C4D53"/>
    <w:rsid w:val="002D7E65"/>
    <w:rsid w:val="002E4E80"/>
    <w:rsid w:val="002F69D8"/>
    <w:rsid w:val="00301133"/>
    <w:rsid w:val="00314AD4"/>
    <w:rsid w:val="00331E9F"/>
    <w:rsid w:val="00333F19"/>
    <w:rsid w:val="003365AD"/>
    <w:rsid w:val="00343758"/>
    <w:rsid w:val="00350620"/>
    <w:rsid w:val="00350E24"/>
    <w:rsid w:val="0035749A"/>
    <w:rsid w:val="00357EEF"/>
    <w:rsid w:val="00360039"/>
    <w:rsid w:val="00367BF1"/>
    <w:rsid w:val="00372615"/>
    <w:rsid w:val="00374969"/>
    <w:rsid w:val="00376834"/>
    <w:rsid w:val="00381696"/>
    <w:rsid w:val="003856A0"/>
    <w:rsid w:val="003860AD"/>
    <w:rsid w:val="00392A71"/>
    <w:rsid w:val="00395D56"/>
    <w:rsid w:val="003A11F6"/>
    <w:rsid w:val="003A3E51"/>
    <w:rsid w:val="003B50D6"/>
    <w:rsid w:val="003B58EA"/>
    <w:rsid w:val="003D3062"/>
    <w:rsid w:val="003E1B41"/>
    <w:rsid w:val="003E430B"/>
    <w:rsid w:val="003F0FA2"/>
    <w:rsid w:val="004019B0"/>
    <w:rsid w:val="004113D7"/>
    <w:rsid w:val="004206C5"/>
    <w:rsid w:val="004222FD"/>
    <w:rsid w:val="00423C0F"/>
    <w:rsid w:val="00426519"/>
    <w:rsid w:val="004320AD"/>
    <w:rsid w:val="00432378"/>
    <w:rsid w:val="00433F96"/>
    <w:rsid w:val="00434552"/>
    <w:rsid w:val="00435EE2"/>
    <w:rsid w:val="00446630"/>
    <w:rsid w:val="00497AEA"/>
    <w:rsid w:val="004A5A77"/>
    <w:rsid w:val="004A660A"/>
    <w:rsid w:val="004A70B0"/>
    <w:rsid w:val="004B0170"/>
    <w:rsid w:val="004B7614"/>
    <w:rsid w:val="004C7DF5"/>
    <w:rsid w:val="004D01F2"/>
    <w:rsid w:val="004E1232"/>
    <w:rsid w:val="004E1F2B"/>
    <w:rsid w:val="004E4C03"/>
    <w:rsid w:val="005024AF"/>
    <w:rsid w:val="00522976"/>
    <w:rsid w:val="0052321E"/>
    <w:rsid w:val="005261FC"/>
    <w:rsid w:val="0054318E"/>
    <w:rsid w:val="005434DD"/>
    <w:rsid w:val="00545A82"/>
    <w:rsid w:val="00551E51"/>
    <w:rsid w:val="00554EB3"/>
    <w:rsid w:val="0055775A"/>
    <w:rsid w:val="005649D9"/>
    <w:rsid w:val="00565E2E"/>
    <w:rsid w:val="005A229D"/>
    <w:rsid w:val="005B1B84"/>
    <w:rsid w:val="005B7E3F"/>
    <w:rsid w:val="005C1615"/>
    <w:rsid w:val="005C4500"/>
    <w:rsid w:val="005C7490"/>
    <w:rsid w:val="005D2C4A"/>
    <w:rsid w:val="005D48BE"/>
    <w:rsid w:val="005D50A1"/>
    <w:rsid w:val="005D777D"/>
    <w:rsid w:val="005E4EAF"/>
    <w:rsid w:val="005F1FFE"/>
    <w:rsid w:val="005F5E72"/>
    <w:rsid w:val="005F6995"/>
    <w:rsid w:val="005F7ED8"/>
    <w:rsid w:val="00605D76"/>
    <w:rsid w:val="00612747"/>
    <w:rsid w:val="00614A51"/>
    <w:rsid w:val="00621C27"/>
    <w:rsid w:val="006223A1"/>
    <w:rsid w:val="0062372E"/>
    <w:rsid w:val="0063683E"/>
    <w:rsid w:val="00640975"/>
    <w:rsid w:val="006560FB"/>
    <w:rsid w:val="006564AE"/>
    <w:rsid w:val="00675320"/>
    <w:rsid w:val="00681430"/>
    <w:rsid w:val="00694C9B"/>
    <w:rsid w:val="00695461"/>
    <w:rsid w:val="006A0BDD"/>
    <w:rsid w:val="006A2BC8"/>
    <w:rsid w:val="006A45FD"/>
    <w:rsid w:val="006B2154"/>
    <w:rsid w:val="006B4276"/>
    <w:rsid w:val="006C4F64"/>
    <w:rsid w:val="006C7761"/>
    <w:rsid w:val="006D5AE8"/>
    <w:rsid w:val="006E4747"/>
    <w:rsid w:val="006F0F0E"/>
    <w:rsid w:val="006F1C9F"/>
    <w:rsid w:val="006F3B6D"/>
    <w:rsid w:val="006F6C78"/>
    <w:rsid w:val="00701D5C"/>
    <w:rsid w:val="00704278"/>
    <w:rsid w:val="00707DAF"/>
    <w:rsid w:val="0071039C"/>
    <w:rsid w:val="00711A09"/>
    <w:rsid w:val="00711BF0"/>
    <w:rsid w:val="00721819"/>
    <w:rsid w:val="00723195"/>
    <w:rsid w:val="0072457E"/>
    <w:rsid w:val="00742FCD"/>
    <w:rsid w:val="007439C8"/>
    <w:rsid w:val="007446BC"/>
    <w:rsid w:val="00746D81"/>
    <w:rsid w:val="0074734D"/>
    <w:rsid w:val="0075562D"/>
    <w:rsid w:val="00762764"/>
    <w:rsid w:val="007627E1"/>
    <w:rsid w:val="007629BD"/>
    <w:rsid w:val="00763A9F"/>
    <w:rsid w:val="00773F88"/>
    <w:rsid w:val="0079180B"/>
    <w:rsid w:val="00794EC6"/>
    <w:rsid w:val="0079631B"/>
    <w:rsid w:val="007A3A0F"/>
    <w:rsid w:val="007B089C"/>
    <w:rsid w:val="007B1C84"/>
    <w:rsid w:val="007C11E7"/>
    <w:rsid w:val="007C6537"/>
    <w:rsid w:val="007C7F90"/>
    <w:rsid w:val="007F5AD2"/>
    <w:rsid w:val="0081008C"/>
    <w:rsid w:val="00814925"/>
    <w:rsid w:val="00815FEF"/>
    <w:rsid w:val="00822CC6"/>
    <w:rsid w:val="008263AD"/>
    <w:rsid w:val="008469BB"/>
    <w:rsid w:val="008513D9"/>
    <w:rsid w:val="00864A8F"/>
    <w:rsid w:val="00870F28"/>
    <w:rsid w:val="0087260F"/>
    <w:rsid w:val="00872FD3"/>
    <w:rsid w:val="008747BC"/>
    <w:rsid w:val="008847E0"/>
    <w:rsid w:val="00893FFD"/>
    <w:rsid w:val="008A0DD5"/>
    <w:rsid w:val="008B2F41"/>
    <w:rsid w:val="008D03C9"/>
    <w:rsid w:val="008D1CCC"/>
    <w:rsid w:val="008D267D"/>
    <w:rsid w:val="008D5F52"/>
    <w:rsid w:val="008E5F62"/>
    <w:rsid w:val="008F46F2"/>
    <w:rsid w:val="009027D3"/>
    <w:rsid w:val="00902E58"/>
    <w:rsid w:val="009117FD"/>
    <w:rsid w:val="00917B00"/>
    <w:rsid w:val="00917DDA"/>
    <w:rsid w:val="00926F52"/>
    <w:rsid w:val="00935C82"/>
    <w:rsid w:val="00940C29"/>
    <w:rsid w:val="00943E82"/>
    <w:rsid w:val="00951576"/>
    <w:rsid w:val="0098002E"/>
    <w:rsid w:val="00980CF3"/>
    <w:rsid w:val="00985840"/>
    <w:rsid w:val="00987B67"/>
    <w:rsid w:val="00992186"/>
    <w:rsid w:val="00995F6B"/>
    <w:rsid w:val="00997734"/>
    <w:rsid w:val="00997FED"/>
    <w:rsid w:val="009C3622"/>
    <w:rsid w:val="009C7CD0"/>
    <w:rsid w:val="009D0E12"/>
    <w:rsid w:val="009D5C86"/>
    <w:rsid w:val="009E02B8"/>
    <w:rsid w:val="009E185A"/>
    <w:rsid w:val="009E302D"/>
    <w:rsid w:val="009E3358"/>
    <w:rsid w:val="009E4A2F"/>
    <w:rsid w:val="009F3E17"/>
    <w:rsid w:val="009F5980"/>
    <w:rsid w:val="00A02615"/>
    <w:rsid w:val="00A02A74"/>
    <w:rsid w:val="00A04ABD"/>
    <w:rsid w:val="00A04CE9"/>
    <w:rsid w:val="00A05FB1"/>
    <w:rsid w:val="00A12FFF"/>
    <w:rsid w:val="00A1686B"/>
    <w:rsid w:val="00A20DF6"/>
    <w:rsid w:val="00A2534C"/>
    <w:rsid w:val="00A357E8"/>
    <w:rsid w:val="00A435F1"/>
    <w:rsid w:val="00A47A99"/>
    <w:rsid w:val="00A52D76"/>
    <w:rsid w:val="00A67381"/>
    <w:rsid w:val="00A72515"/>
    <w:rsid w:val="00A75AEF"/>
    <w:rsid w:val="00A765DE"/>
    <w:rsid w:val="00A81BE8"/>
    <w:rsid w:val="00A84484"/>
    <w:rsid w:val="00A90F36"/>
    <w:rsid w:val="00A9710D"/>
    <w:rsid w:val="00A97B10"/>
    <w:rsid w:val="00AA3B3A"/>
    <w:rsid w:val="00AC23E1"/>
    <w:rsid w:val="00AC4FAA"/>
    <w:rsid w:val="00AD6B9E"/>
    <w:rsid w:val="00AE53D4"/>
    <w:rsid w:val="00AF441B"/>
    <w:rsid w:val="00B03871"/>
    <w:rsid w:val="00B11E74"/>
    <w:rsid w:val="00B25785"/>
    <w:rsid w:val="00B36712"/>
    <w:rsid w:val="00B428B2"/>
    <w:rsid w:val="00B43CB2"/>
    <w:rsid w:val="00B53F19"/>
    <w:rsid w:val="00B642B6"/>
    <w:rsid w:val="00B959AD"/>
    <w:rsid w:val="00BB1B33"/>
    <w:rsid w:val="00BC41AF"/>
    <w:rsid w:val="00BD0754"/>
    <w:rsid w:val="00BD0A3A"/>
    <w:rsid w:val="00BE179C"/>
    <w:rsid w:val="00BE6A05"/>
    <w:rsid w:val="00BF1209"/>
    <w:rsid w:val="00BF51C0"/>
    <w:rsid w:val="00C16907"/>
    <w:rsid w:val="00C16E6C"/>
    <w:rsid w:val="00C32924"/>
    <w:rsid w:val="00C32E10"/>
    <w:rsid w:val="00C358CE"/>
    <w:rsid w:val="00C4489E"/>
    <w:rsid w:val="00C461BE"/>
    <w:rsid w:val="00C516A5"/>
    <w:rsid w:val="00C63BD9"/>
    <w:rsid w:val="00C821C7"/>
    <w:rsid w:val="00C87925"/>
    <w:rsid w:val="00C93E4C"/>
    <w:rsid w:val="00C93F5E"/>
    <w:rsid w:val="00C94739"/>
    <w:rsid w:val="00CA0131"/>
    <w:rsid w:val="00CA369D"/>
    <w:rsid w:val="00CA77E9"/>
    <w:rsid w:val="00CB74AE"/>
    <w:rsid w:val="00CC0EBF"/>
    <w:rsid w:val="00CE0991"/>
    <w:rsid w:val="00CE3851"/>
    <w:rsid w:val="00CE4555"/>
    <w:rsid w:val="00CE481D"/>
    <w:rsid w:val="00CE7F36"/>
    <w:rsid w:val="00CF1823"/>
    <w:rsid w:val="00CF2557"/>
    <w:rsid w:val="00CF4838"/>
    <w:rsid w:val="00CF6E53"/>
    <w:rsid w:val="00D02D08"/>
    <w:rsid w:val="00D0780E"/>
    <w:rsid w:val="00D14546"/>
    <w:rsid w:val="00D16CE3"/>
    <w:rsid w:val="00D177FF"/>
    <w:rsid w:val="00D239ED"/>
    <w:rsid w:val="00D243F6"/>
    <w:rsid w:val="00D244F4"/>
    <w:rsid w:val="00D24EBC"/>
    <w:rsid w:val="00D30E1F"/>
    <w:rsid w:val="00D36F15"/>
    <w:rsid w:val="00D37773"/>
    <w:rsid w:val="00D37B7F"/>
    <w:rsid w:val="00D5001B"/>
    <w:rsid w:val="00D60A61"/>
    <w:rsid w:val="00D630C8"/>
    <w:rsid w:val="00D63AE1"/>
    <w:rsid w:val="00D82754"/>
    <w:rsid w:val="00DA3FD1"/>
    <w:rsid w:val="00DB1E75"/>
    <w:rsid w:val="00DC0BA6"/>
    <w:rsid w:val="00DC0CF1"/>
    <w:rsid w:val="00DC6A82"/>
    <w:rsid w:val="00DD5CD0"/>
    <w:rsid w:val="00DF05E6"/>
    <w:rsid w:val="00DF1013"/>
    <w:rsid w:val="00DF4050"/>
    <w:rsid w:val="00E00FB6"/>
    <w:rsid w:val="00E06909"/>
    <w:rsid w:val="00E107D3"/>
    <w:rsid w:val="00E114B9"/>
    <w:rsid w:val="00E1376B"/>
    <w:rsid w:val="00E15F28"/>
    <w:rsid w:val="00E206B6"/>
    <w:rsid w:val="00E24372"/>
    <w:rsid w:val="00E24F1A"/>
    <w:rsid w:val="00E275E9"/>
    <w:rsid w:val="00E348B5"/>
    <w:rsid w:val="00E42471"/>
    <w:rsid w:val="00E4580C"/>
    <w:rsid w:val="00E625D3"/>
    <w:rsid w:val="00E67D6B"/>
    <w:rsid w:val="00E900A0"/>
    <w:rsid w:val="00E94E9E"/>
    <w:rsid w:val="00E94FC4"/>
    <w:rsid w:val="00E967A2"/>
    <w:rsid w:val="00E97A60"/>
    <w:rsid w:val="00EA0E29"/>
    <w:rsid w:val="00EA14DF"/>
    <w:rsid w:val="00EA3089"/>
    <w:rsid w:val="00EA7D1F"/>
    <w:rsid w:val="00EB6ABE"/>
    <w:rsid w:val="00EC3536"/>
    <w:rsid w:val="00ED6B7F"/>
    <w:rsid w:val="00EE07EE"/>
    <w:rsid w:val="00EE0BAD"/>
    <w:rsid w:val="00EE51FA"/>
    <w:rsid w:val="00EF3BE0"/>
    <w:rsid w:val="00EF4D9E"/>
    <w:rsid w:val="00EF5B10"/>
    <w:rsid w:val="00F00C8F"/>
    <w:rsid w:val="00F138C7"/>
    <w:rsid w:val="00F14507"/>
    <w:rsid w:val="00F1667F"/>
    <w:rsid w:val="00F16809"/>
    <w:rsid w:val="00F17448"/>
    <w:rsid w:val="00F23E8F"/>
    <w:rsid w:val="00F25FC3"/>
    <w:rsid w:val="00F36FDC"/>
    <w:rsid w:val="00F419C7"/>
    <w:rsid w:val="00F51032"/>
    <w:rsid w:val="00F54599"/>
    <w:rsid w:val="00F6781B"/>
    <w:rsid w:val="00F80F8F"/>
    <w:rsid w:val="00F82E0B"/>
    <w:rsid w:val="00F83367"/>
    <w:rsid w:val="00FA2A07"/>
    <w:rsid w:val="00FB5F64"/>
    <w:rsid w:val="00FB7D1A"/>
    <w:rsid w:val="00FC5009"/>
    <w:rsid w:val="00FF13BE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4E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E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E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2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12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B5"/>
  </w:style>
  <w:style w:type="paragraph" w:styleId="EndnoteText">
    <w:name w:val="endnote text"/>
    <w:basedOn w:val="Normal"/>
    <w:link w:val="EndnoteTextChar"/>
    <w:uiPriority w:val="99"/>
    <w:semiHidden/>
    <w:unhideWhenUsed/>
    <w:rsid w:val="005C16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6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16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31ED-F847-48FC-8975-CD8DCBF9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22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Adly</dc:creator>
  <cp:lastModifiedBy>Adly</cp:lastModifiedBy>
  <cp:revision>335</cp:revision>
  <cp:lastPrinted>2014-01-06T10:47:00Z</cp:lastPrinted>
  <dcterms:created xsi:type="dcterms:W3CDTF">2013-05-18T03:47:00Z</dcterms:created>
  <dcterms:modified xsi:type="dcterms:W3CDTF">2014-01-06T10:51:00Z</dcterms:modified>
</cp:coreProperties>
</file>