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Default="000154B7" w:rsidP="00F5588C">
      <w:r>
        <w:t xml:space="preserve">Lampiran 1. </w:t>
      </w:r>
    </w:p>
    <w:p w:rsidR="000154B7" w:rsidRPr="006B1240" w:rsidRDefault="006B1240" w:rsidP="000A658F">
      <w:pPr>
        <w:jc w:val="center"/>
        <w:rPr>
          <w:lang w:val="en-US"/>
        </w:rPr>
      </w:pPr>
      <w:r>
        <w:t xml:space="preserve">Tabel </w:t>
      </w:r>
      <w:r>
        <w:rPr>
          <w:lang w:val="en-US"/>
        </w:rPr>
        <w:t>5</w:t>
      </w:r>
    </w:p>
    <w:p w:rsidR="000A658F" w:rsidRDefault="000A658F" w:rsidP="000A658F">
      <w:pPr>
        <w:jc w:val="center"/>
      </w:pPr>
    </w:p>
    <w:p w:rsidR="00AC17F8" w:rsidRDefault="000154B7" w:rsidP="00F5588C">
      <w:pPr>
        <w:jc w:val="center"/>
      </w:pPr>
      <w:r>
        <w:t xml:space="preserve">Kisi-kisi </w:t>
      </w:r>
      <w:r w:rsidR="00CB167A">
        <w:t xml:space="preserve">Instrumen Penelitian </w:t>
      </w:r>
    </w:p>
    <w:p w:rsidR="002F32A4" w:rsidRDefault="00912A8C" w:rsidP="00F5588C">
      <w:pPr>
        <w:jc w:val="center"/>
        <w:rPr>
          <w:color w:val="000000"/>
        </w:rPr>
      </w:pPr>
      <w:r w:rsidRPr="0012267C">
        <w:t xml:space="preserve">Pola </w:t>
      </w:r>
      <w:r w:rsidR="00BC502E" w:rsidRPr="0012267C">
        <w:t>pendidikan Islam pada anak pemikul kayu suku Tolaki di Desa Tambolosu Kecamatan Laonti Kabupaten Konawe Selatan</w:t>
      </w:r>
    </w:p>
    <w:p w:rsidR="00F15C51" w:rsidRDefault="00EA7CD0" w:rsidP="00F5588C">
      <w:pPr>
        <w:jc w:val="center"/>
        <w:rPr>
          <w:color w:val="000000"/>
        </w:rPr>
      </w:pPr>
      <w:r w:rsidRPr="00EA7CD0">
        <w:rPr>
          <w:noProof/>
          <w:color w:val="000000"/>
          <w:lang w:eastAsia="id-ID"/>
        </w:rPr>
        <w:pict>
          <v:line id="_x0000_s1026" style="position:absolute;left:0;text-align:left;z-index:251658240" from=".75pt,6pt" to="414.75pt,6pt" strokeweight="4.5pt">
            <v:stroke linestyle="thinThick"/>
          </v:line>
        </w:pict>
      </w:r>
    </w:p>
    <w:tbl>
      <w:tblPr>
        <w:tblStyle w:val="TableGrid"/>
        <w:tblW w:w="0" w:type="auto"/>
        <w:tblInd w:w="108" w:type="dxa"/>
        <w:tblLook w:val="04A0"/>
      </w:tblPr>
      <w:tblGrid>
        <w:gridCol w:w="2101"/>
        <w:gridCol w:w="1973"/>
        <w:gridCol w:w="4305"/>
      </w:tblGrid>
      <w:tr w:rsidR="00912A8C" w:rsidTr="00912A8C">
        <w:tc>
          <w:tcPr>
            <w:tcW w:w="2120" w:type="dxa"/>
            <w:tcBorders>
              <w:right w:val="single" w:sz="4" w:space="0" w:color="auto"/>
            </w:tcBorders>
          </w:tcPr>
          <w:p w:rsidR="00912A8C" w:rsidRDefault="00912A8C" w:rsidP="00F5588C">
            <w:pPr>
              <w:jc w:val="center"/>
            </w:pPr>
            <w:r>
              <w:t xml:space="preserve">Variabel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912A8C" w:rsidRDefault="00912A8C" w:rsidP="00F5588C">
            <w:pPr>
              <w:jc w:val="center"/>
            </w:pPr>
            <w:r>
              <w:t xml:space="preserve">Aspek </w:t>
            </w:r>
          </w:p>
        </w:tc>
        <w:tc>
          <w:tcPr>
            <w:tcW w:w="4349" w:type="dxa"/>
          </w:tcPr>
          <w:p w:rsidR="00912A8C" w:rsidRDefault="00912A8C" w:rsidP="00F5588C">
            <w:pPr>
              <w:jc w:val="center"/>
            </w:pPr>
            <w:r>
              <w:t xml:space="preserve">Indikator </w:t>
            </w:r>
          </w:p>
          <w:p w:rsidR="00912A8C" w:rsidRDefault="00912A8C" w:rsidP="00F5588C">
            <w:pPr>
              <w:jc w:val="center"/>
            </w:pPr>
          </w:p>
        </w:tc>
      </w:tr>
      <w:tr w:rsidR="00912A8C" w:rsidTr="00912A8C">
        <w:tc>
          <w:tcPr>
            <w:tcW w:w="2120" w:type="dxa"/>
            <w:tcBorders>
              <w:right w:val="single" w:sz="4" w:space="0" w:color="auto"/>
            </w:tcBorders>
          </w:tcPr>
          <w:p w:rsidR="00912A8C" w:rsidRDefault="00912A8C" w:rsidP="00F5588C">
            <w:pPr>
              <w:jc w:val="center"/>
            </w:pPr>
            <w:r w:rsidRPr="0012267C">
              <w:t xml:space="preserve">Pola pendidikan Islam pada </w:t>
            </w:r>
            <w:r w:rsidR="00882EEC">
              <w:t>Keluarga</w:t>
            </w:r>
            <w:r w:rsidRPr="0012267C">
              <w:t xml:space="preserve"> pemikul kayu suku Tolaki di Desa Tambolosu Kecamatan Laonti Kabupaten Konawe Selatan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912A8C" w:rsidRPr="00912A8C" w:rsidRDefault="00912A8C" w:rsidP="00F5588C">
            <w:pPr>
              <w:pStyle w:val="ListParagraph"/>
              <w:numPr>
                <w:ilvl w:val="0"/>
                <w:numId w:val="8"/>
              </w:numPr>
              <w:ind w:left="182" w:hanging="254"/>
            </w:pPr>
            <w:r w:rsidRPr="00912A8C">
              <w:t xml:space="preserve">Pola pendidikan otoriter </w:t>
            </w:r>
          </w:p>
          <w:p w:rsidR="00912A8C" w:rsidRDefault="00912A8C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Default="00321CF7" w:rsidP="00F5588C">
            <w:pPr>
              <w:ind w:left="182" w:hanging="254"/>
            </w:pPr>
          </w:p>
          <w:p w:rsidR="00321CF7" w:rsidRPr="00912A8C" w:rsidRDefault="00321CF7" w:rsidP="00F5588C">
            <w:pPr>
              <w:ind w:left="182" w:hanging="254"/>
            </w:pPr>
          </w:p>
          <w:p w:rsidR="00912A8C" w:rsidRPr="00912A8C" w:rsidRDefault="00912A8C" w:rsidP="00F5588C">
            <w:pPr>
              <w:pStyle w:val="ListParagraph"/>
              <w:numPr>
                <w:ilvl w:val="0"/>
                <w:numId w:val="8"/>
              </w:numPr>
              <w:ind w:left="182" w:hanging="254"/>
            </w:pPr>
            <w:r w:rsidRPr="00912A8C">
              <w:t xml:space="preserve">Pola pendidikan demokratis </w:t>
            </w:r>
          </w:p>
          <w:p w:rsidR="00912A8C" w:rsidRPr="00912A8C" w:rsidRDefault="00912A8C" w:rsidP="00F5588C">
            <w:pPr>
              <w:ind w:left="182" w:hanging="254"/>
            </w:pPr>
          </w:p>
          <w:p w:rsidR="00912A8C" w:rsidRPr="00912A8C" w:rsidRDefault="00912A8C" w:rsidP="00F5588C">
            <w:pPr>
              <w:ind w:left="182" w:hanging="254"/>
            </w:pPr>
          </w:p>
          <w:p w:rsidR="00912A8C" w:rsidRDefault="00912A8C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Default="00FF60EB" w:rsidP="00F5588C">
            <w:pPr>
              <w:ind w:left="182" w:hanging="254"/>
            </w:pPr>
          </w:p>
          <w:p w:rsidR="00FF60EB" w:rsidRPr="00912A8C" w:rsidRDefault="00FF60EB" w:rsidP="00F5588C">
            <w:pPr>
              <w:ind w:left="182" w:hanging="254"/>
            </w:pPr>
          </w:p>
          <w:p w:rsidR="00912A8C" w:rsidRPr="00912A8C" w:rsidRDefault="00912A8C" w:rsidP="00F5588C">
            <w:pPr>
              <w:pStyle w:val="ListParagraph"/>
              <w:numPr>
                <w:ilvl w:val="0"/>
                <w:numId w:val="8"/>
              </w:numPr>
              <w:ind w:left="182" w:hanging="254"/>
            </w:pPr>
            <w:r w:rsidRPr="00912A8C">
              <w:t xml:space="preserve">Pola pendidikan </w:t>
            </w:r>
            <w:r w:rsidRPr="00912A8C">
              <w:rPr>
                <w:rFonts w:cs="Times New Roman"/>
                <w:color w:val="262626" w:themeColor="text1" w:themeTint="D9"/>
                <w:lang w:eastAsia="id-ID"/>
              </w:rPr>
              <w:t>Permisif (</w:t>
            </w:r>
            <w:r w:rsidRPr="00912A8C">
              <w:rPr>
                <w:rFonts w:cs="Times New Roman"/>
                <w:i/>
                <w:iCs/>
                <w:color w:val="262626" w:themeColor="text1" w:themeTint="D9"/>
                <w:lang w:eastAsia="id-ID"/>
              </w:rPr>
              <w:t>Laissez Faire</w:t>
            </w:r>
            <w:r w:rsidRPr="00912A8C">
              <w:rPr>
                <w:rFonts w:cs="Times New Roman"/>
                <w:color w:val="262626" w:themeColor="text1" w:themeTint="D9"/>
                <w:lang w:eastAsia="id-ID"/>
              </w:rPr>
              <w:t>)</w:t>
            </w:r>
          </w:p>
          <w:p w:rsidR="00912A8C" w:rsidRPr="00912A8C" w:rsidRDefault="00912A8C" w:rsidP="00F5588C">
            <w:pPr>
              <w:ind w:left="182" w:hanging="254"/>
            </w:pPr>
          </w:p>
          <w:p w:rsidR="00912A8C" w:rsidRPr="00912A8C" w:rsidRDefault="00912A8C" w:rsidP="00F5588C">
            <w:pPr>
              <w:ind w:left="182" w:hanging="254"/>
            </w:pPr>
          </w:p>
          <w:p w:rsidR="00912A8C" w:rsidRPr="00912A8C" w:rsidRDefault="00912A8C" w:rsidP="00F5588C">
            <w:pPr>
              <w:ind w:left="182" w:hanging="254"/>
              <w:jc w:val="center"/>
            </w:pPr>
          </w:p>
        </w:tc>
        <w:tc>
          <w:tcPr>
            <w:tcW w:w="4349" w:type="dxa"/>
          </w:tcPr>
          <w:p w:rsidR="00F5588C" w:rsidRPr="00F5588C" w:rsidRDefault="00F5588C" w:rsidP="00F5588C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</w:pP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lastRenderedPageBreak/>
              <w:t xml:space="preserve">Pola 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pendidikan diterapkan dengan </w:t>
            </w: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t>aturan-aturan yang ketat, pemaksaan kehendak pada anak</w:t>
            </w:r>
          </w:p>
          <w:p w:rsidR="00F5588C" w:rsidRPr="00F5588C" w:rsidRDefault="00F5588C" w:rsidP="00F5588C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</w:pP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Karakter pola pendidikan mencerminkan pola interaksi nemakai model aturan-aturan yang ketat, bahkan cenderung pemaksaan kehendak pada anak, </w:t>
            </w:r>
          </w:p>
          <w:p w:rsidR="00F5588C" w:rsidRPr="00F5588C" w:rsidRDefault="0008429F" w:rsidP="00F5588C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</w:pP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Semua </w:t>
            </w:r>
            <w:r w:rsidR="00F5588C"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sikap dan perbuatan 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pendidik</w:t>
            </w:r>
            <w:r w:rsidR="00F5588C">
              <w:rPr>
                <w:rFonts w:cs="Times New Roman"/>
                <w:color w:val="262626" w:themeColor="text1" w:themeTint="D9"/>
                <w:lang w:eastAsia="id-ID"/>
              </w:rPr>
              <w:t xml:space="preserve"> </w:t>
            </w:r>
            <w:r w:rsidR="00F5588C"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pada anak sudah </w:t>
            </w:r>
            <w:r w:rsidR="00F5588C">
              <w:rPr>
                <w:rFonts w:cs="Times New Roman"/>
                <w:color w:val="262626" w:themeColor="text1" w:themeTint="D9"/>
                <w:lang w:eastAsia="id-ID"/>
              </w:rPr>
              <w:t xml:space="preserve">mutlak dianggap </w:t>
            </w:r>
            <w:r w:rsidR="00F5588C" w:rsidRPr="00F5588C">
              <w:rPr>
                <w:rFonts w:cs="Times New Roman"/>
                <w:color w:val="262626" w:themeColor="text1" w:themeTint="D9"/>
                <w:lang w:eastAsia="id-ID"/>
              </w:rPr>
              <w:t>benar sehingga tidak perlu dipertimbangkan dengan anak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.</w:t>
            </w:r>
          </w:p>
          <w:p w:rsidR="007E4DBE" w:rsidRPr="007E4DBE" w:rsidRDefault="00F5588C" w:rsidP="00F5588C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</w:pP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Anak 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selaku individu terdidik </w:t>
            </w:r>
            <w:r w:rsidRPr="00F5588C">
              <w:rPr>
                <w:rFonts w:cs="Times New Roman"/>
                <w:color w:val="262626" w:themeColor="text1" w:themeTint="D9"/>
                <w:lang w:eastAsia="id-ID"/>
              </w:rPr>
              <w:t xml:space="preserve">terproteksi sebagai individu yang sepatutnya memperoleh hak-hak 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pendidikan yang layak.</w:t>
            </w:r>
          </w:p>
          <w:p w:rsidR="007E4DBE" w:rsidRPr="007E4DBE" w:rsidRDefault="007E4DBE" w:rsidP="00F5588C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</w:pP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Hukuman </w:t>
            </w:r>
            <w:r w:rsidR="00F5588C" w:rsidRPr="007E4DBE">
              <w:rPr>
                <w:rFonts w:cs="Times New Roman"/>
                <w:color w:val="262626" w:themeColor="text1" w:themeTint="D9"/>
                <w:lang w:eastAsia="id-ID"/>
              </w:rPr>
              <w:t>dipergunakan dengan presentase yang kerap tinggi sebagai sebuah alternatif sarana dalam proses pendidikan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.</w:t>
            </w:r>
          </w:p>
          <w:p w:rsidR="007E4DBE" w:rsidRDefault="007E4DBE" w:rsidP="007E4DBE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Respon </w:t>
            </w:r>
            <w:r w:rsidR="00F5588C" w:rsidRPr="007E4DBE">
              <w:rPr>
                <w:rFonts w:cs="Times New Roman"/>
                <w:color w:val="262626" w:themeColor="text1" w:themeTint="D9"/>
                <w:lang w:eastAsia="id-ID"/>
              </w:rPr>
              <w:t xml:space="preserve">anak melaksanakan perintah </w:t>
            </w:r>
            <w:r w:rsidR="004F7FFD">
              <w:rPr>
                <w:rFonts w:cs="Times New Roman"/>
                <w:color w:val="262626" w:themeColor="text1" w:themeTint="D9"/>
                <w:lang w:eastAsia="id-ID"/>
              </w:rPr>
              <w:t xml:space="preserve">pendidik </w:t>
            </w:r>
            <w:r w:rsidR="00F5588C" w:rsidRPr="007E4DBE">
              <w:rPr>
                <w:rFonts w:cs="Times New Roman"/>
                <w:color w:val="262626" w:themeColor="text1" w:themeTint="D9"/>
                <w:lang w:eastAsia="id-ID"/>
              </w:rPr>
              <w:t>atas dasar takut atau perasaan tidak nyaman .</w:t>
            </w:r>
          </w:p>
          <w:p w:rsidR="00AE780A" w:rsidRDefault="00B55E38" w:rsidP="00AE780A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>
              <w:rPr>
                <w:rFonts w:cs="Times New Roman"/>
                <w:color w:val="262626" w:themeColor="text1" w:themeTint="D9"/>
                <w:lang w:eastAsia="id-ID"/>
              </w:rPr>
              <w:t>Pendidik</w:t>
            </w:r>
            <w:r w:rsidRPr="007E4DBE">
              <w:rPr>
                <w:rFonts w:cs="Times New Roman"/>
                <w:color w:val="262626" w:themeColor="text1" w:themeTint="D9"/>
                <w:lang w:eastAsia="id-ID"/>
              </w:rPr>
              <w:t xml:space="preserve"> </w:t>
            </w:r>
            <w:r w:rsidR="00F5588C" w:rsidRPr="007E4DBE">
              <w:rPr>
                <w:rFonts w:cs="Times New Roman"/>
                <w:color w:val="262626" w:themeColor="text1" w:themeTint="D9"/>
                <w:lang w:eastAsia="id-ID"/>
              </w:rPr>
              <w:t>cenderung mencari kesalahan anak dan kemudian menghukumnya.</w:t>
            </w:r>
          </w:p>
          <w:p w:rsidR="00AE780A" w:rsidRDefault="00AE780A" w:rsidP="00AE780A">
            <w:pPr>
              <w:pStyle w:val="ListParagraph"/>
              <w:ind w:left="176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</w:p>
          <w:p w:rsidR="00AE780A" w:rsidRPr="00AE780A" w:rsidRDefault="00AE780A" w:rsidP="00AE780A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>Pola pendidikan sebagai  cara mendidik yang aktif, dinamis dan terarah</w:t>
            </w:r>
          </w:p>
          <w:p w:rsidR="00AE780A" w:rsidRDefault="00AE780A" w:rsidP="00AE780A">
            <w:pPr>
              <w:pStyle w:val="ListParagraph"/>
              <w:numPr>
                <w:ilvl w:val="0"/>
                <w:numId w:val="11"/>
              </w:numPr>
              <w:ind w:left="176" w:hanging="261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>berusaha mengembangkan setiap bakat yang dimiliki anak untuk kemajuan perkembangannya</w:t>
            </w:r>
          </w:p>
          <w:p w:rsidR="00AE780A" w:rsidRDefault="00AE780A" w:rsidP="00AE780A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 xml:space="preserve">Menempatkan anak selaku individu sebagai faktor utama dan terpenting </w:t>
            </w: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lastRenderedPageBreak/>
              <w:t>dalam pendidika\</w:t>
            </w:r>
          </w:p>
          <w:p w:rsidR="00AE780A" w:rsidRDefault="00AE780A" w:rsidP="00AE780A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 xml:space="preserve">Hubungan pendidik dan anak dalam proses pendidikan diwujudkan dalam bentuk </w:t>
            </w:r>
            <w:r w:rsidRPr="00AE780A">
              <w:rPr>
                <w:rFonts w:cs="Times New Roman"/>
                <w:i/>
                <w:iCs/>
                <w:color w:val="262626" w:themeColor="text1" w:themeTint="D9"/>
                <w:lang w:eastAsia="id-ID"/>
              </w:rPr>
              <w:t xml:space="preserve">human relationship </w:t>
            </w: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>yang didasari oleh prinsip saling menghargai dan saling menghormati</w:t>
            </w:r>
          </w:p>
          <w:p w:rsidR="00AE780A" w:rsidRDefault="00AE780A" w:rsidP="00AE780A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>Hak pendidik hanya memberi tawaran dan pertimbangan dengan segala alasan dan argumentasinya</w:t>
            </w:r>
          </w:p>
          <w:p w:rsidR="00AE780A" w:rsidRPr="00AE780A" w:rsidRDefault="00AE780A" w:rsidP="00AE780A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>anak memilih alternatif dan menentukan sikapnya yang dianggap lebih tepat berdarkan norma dan koridor yang ada.</w:t>
            </w:r>
            <w:r w:rsidRPr="00AE780A">
              <w:rPr>
                <w:rFonts w:cs="Times New Roman"/>
                <w:color w:val="262626" w:themeColor="text1" w:themeTint="D9"/>
                <w:sz w:val="16"/>
                <w:szCs w:val="16"/>
                <w:lang w:eastAsia="id-ID"/>
              </w:rPr>
              <w:t xml:space="preserve"> </w:t>
            </w:r>
          </w:p>
          <w:p w:rsidR="004B7631" w:rsidRDefault="00AE780A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AE780A">
              <w:rPr>
                <w:rFonts w:cs="Times New Roman"/>
                <w:color w:val="262626" w:themeColor="text1" w:themeTint="D9"/>
                <w:lang w:eastAsia="id-ID"/>
              </w:rPr>
              <w:t xml:space="preserve">Proses pendidikan dilaksanakan untuk menumbuhkembangkan sikap dan potensi/bakat </w:t>
            </w:r>
          </w:p>
          <w:p w:rsidR="004B7631" w:rsidRDefault="004B7631" w:rsidP="004B7631">
            <w:pPr>
              <w:pStyle w:val="ListParagraph"/>
              <w:ind w:left="317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</w:p>
          <w:p w:rsidR="004B7631" w:rsidRP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Pola pendidikan </w:t>
            </w: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membiarkan anak berbuat sekehendaknya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Pendidik  tidak memberi pimpinan, nasehat maupun teguran terhadap anaknya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 xml:space="preserve">pendidik tidak mempedulikan perkembangan psikis anak 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 xml:space="preserve"> memprioritaskan 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kepentingan diri pendidik</w:t>
            </w: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 xml:space="preserve">, 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anak diabaikan serta dibiarkan berkembang dengan sendirinya.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pemberian kebebasan tanpa batas pada an</w:t>
            </w:r>
            <w:r>
              <w:rPr>
                <w:rFonts w:cs="Times New Roman"/>
                <w:color w:val="262626" w:themeColor="text1" w:themeTint="D9"/>
                <w:lang w:eastAsia="id-ID"/>
              </w:rPr>
              <w:t>ak</w:t>
            </w:r>
          </w:p>
          <w:p w:rsidR="004B7631" w:rsidRDefault="004B7631" w:rsidP="004B7631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Tidak terarah dan tidak teratur sehingga prilaku pendidik yang permisif</w:t>
            </w:r>
          </w:p>
          <w:p w:rsidR="00CF228F" w:rsidRPr="004B7631" w:rsidRDefault="004B7631" w:rsidP="00CF228F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cs="Times New Roman"/>
                <w:color w:val="262626" w:themeColor="text1" w:themeTint="D9"/>
                <w:lang w:eastAsia="id-ID"/>
              </w:rPr>
            </w:pPr>
            <w:r>
              <w:rPr>
                <w:rFonts w:cs="Times New Roman"/>
                <w:color w:val="262626" w:themeColor="text1" w:themeTint="D9"/>
                <w:lang w:eastAsia="id-ID"/>
              </w:rPr>
              <w:t xml:space="preserve">Anak </w:t>
            </w:r>
            <w:r w:rsidRPr="004B7631">
              <w:rPr>
                <w:rFonts w:cs="Times New Roman"/>
                <w:color w:val="262626" w:themeColor="text1" w:themeTint="D9"/>
                <w:lang w:eastAsia="id-ID"/>
              </w:rPr>
              <w:t>bertindak sendiri tanpa memonitor (mengawasi) dan membimbingnya, mendidik anak secara acuh tak acuh, bersifat pasif atau bersifat masa</w:t>
            </w:r>
          </w:p>
        </w:tc>
      </w:tr>
    </w:tbl>
    <w:p w:rsidR="00F15C51" w:rsidRDefault="00F15C51" w:rsidP="00F5588C">
      <w:pPr>
        <w:jc w:val="center"/>
      </w:pPr>
    </w:p>
    <w:sectPr w:rsidR="00F15C51" w:rsidSect="00531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0F" w:rsidRDefault="005B040F" w:rsidP="00F5588C">
      <w:r>
        <w:separator/>
      </w:r>
    </w:p>
  </w:endnote>
  <w:endnote w:type="continuationSeparator" w:id="0">
    <w:p w:rsidR="005B040F" w:rsidRDefault="005B040F" w:rsidP="00F5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A6" w:rsidRDefault="005A3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A6" w:rsidRPr="005A38A6" w:rsidRDefault="005A38A6" w:rsidP="005A38A6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A6" w:rsidRDefault="005A3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0F" w:rsidRDefault="005B040F" w:rsidP="00F5588C">
      <w:r>
        <w:separator/>
      </w:r>
    </w:p>
  </w:footnote>
  <w:footnote w:type="continuationSeparator" w:id="0">
    <w:p w:rsidR="005B040F" w:rsidRDefault="005B040F" w:rsidP="00F5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A6" w:rsidRDefault="005A3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0F" w:rsidRPr="005A38A6" w:rsidRDefault="005A38A6" w:rsidP="005A38A6">
    <w:pPr>
      <w:pStyle w:val="Header"/>
      <w:jc w:val="right"/>
      <w:rPr>
        <w:lang w:val="en-US"/>
      </w:rPr>
    </w:pPr>
    <w:r>
      <w:rPr>
        <w:lang w:val="en-US"/>
      </w:rPr>
      <w:t>96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A6" w:rsidRDefault="005A3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441"/>
    <w:multiLevelType w:val="hybridMultilevel"/>
    <w:tmpl w:val="BD18E2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946"/>
    <w:multiLevelType w:val="hybridMultilevel"/>
    <w:tmpl w:val="7C2413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933"/>
    <w:multiLevelType w:val="hybridMultilevel"/>
    <w:tmpl w:val="4FAAA9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26B7"/>
    <w:multiLevelType w:val="hybridMultilevel"/>
    <w:tmpl w:val="FE3030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B5DEF"/>
    <w:multiLevelType w:val="hybridMultilevel"/>
    <w:tmpl w:val="D466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72B3"/>
    <w:multiLevelType w:val="hybridMultilevel"/>
    <w:tmpl w:val="19C2A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41CEF"/>
    <w:multiLevelType w:val="hybridMultilevel"/>
    <w:tmpl w:val="3904C0D8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AAA2A25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085B02"/>
    <w:multiLevelType w:val="hybridMultilevel"/>
    <w:tmpl w:val="42BCB8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7C"/>
    <w:multiLevelType w:val="hybridMultilevel"/>
    <w:tmpl w:val="47A632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53656"/>
    <w:multiLevelType w:val="hybridMultilevel"/>
    <w:tmpl w:val="7C9499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903CCE"/>
    <w:multiLevelType w:val="hybridMultilevel"/>
    <w:tmpl w:val="E7E2472A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154B7"/>
    <w:rsid w:val="00057AA4"/>
    <w:rsid w:val="0008429F"/>
    <w:rsid w:val="000A658F"/>
    <w:rsid w:val="000B471D"/>
    <w:rsid w:val="000D33EE"/>
    <w:rsid w:val="00141E62"/>
    <w:rsid w:val="00182432"/>
    <w:rsid w:val="001D32E6"/>
    <w:rsid w:val="001F0866"/>
    <w:rsid w:val="001F27C7"/>
    <w:rsid w:val="002250C2"/>
    <w:rsid w:val="00240379"/>
    <w:rsid w:val="00247A3C"/>
    <w:rsid w:val="00260C53"/>
    <w:rsid w:val="00290933"/>
    <w:rsid w:val="002B1ABE"/>
    <w:rsid w:val="002B710F"/>
    <w:rsid w:val="002F32A4"/>
    <w:rsid w:val="00315B02"/>
    <w:rsid w:val="00321CF7"/>
    <w:rsid w:val="0035591A"/>
    <w:rsid w:val="003579CF"/>
    <w:rsid w:val="00357D86"/>
    <w:rsid w:val="00393B6C"/>
    <w:rsid w:val="003A6BEB"/>
    <w:rsid w:val="00410328"/>
    <w:rsid w:val="00434D06"/>
    <w:rsid w:val="004631D4"/>
    <w:rsid w:val="00467E90"/>
    <w:rsid w:val="00490911"/>
    <w:rsid w:val="004A3690"/>
    <w:rsid w:val="004A7D9A"/>
    <w:rsid w:val="004B7631"/>
    <w:rsid w:val="004C6672"/>
    <w:rsid w:val="004E65D8"/>
    <w:rsid w:val="004F7FFD"/>
    <w:rsid w:val="005166AE"/>
    <w:rsid w:val="00531D18"/>
    <w:rsid w:val="00534EA2"/>
    <w:rsid w:val="00550FA5"/>
    <w:rsid w:val="0056204F"/>
    <w:rsid w:val="0059208E"/>
    <w:rsid w:val="005A38A6"/>
    <w:rsid w:val="005B040F"/>
    <w:rsid w:val="005E24E0"/>
    <w:rsid w:val="005E7175"/>
    <w:rsid w:val="00626381"/>
    <w:rsid w:val="00643035"/>
    <w:rsid w:val="00645E52"/>
    <w:rsid w:val="00653754"/>
    <w:rsid w:val="00665214"/>
    <w:rsid w:val="00665F77"/>
    <w:rsid w:val="006B1240"/>
    <w:rsid w:val="006C4842"/>
    <w:rsid w:val="006E7D97"/>
    <w:rsid w:val="006F7CE8"/>
    <w:rsid w:val="00722BFE"/>
    <w:rsid w:val="0074263D"/>
    <w:rsid w:val="00750D34"/>
    <w:rsid w:val="007D17C2"/>
    <w:rsid w:val="007E4DBE"/>
    <w:rsid w:val="007F6B37"/>
    <w:rsid w:val="00882EEC"/>
    <w:rsid w:val="0088649F"/>
    <w:rsid w:val="008A1FE9"/>
    <w:rsid w:val="008E61C6"/>
    <w:rsid w:val="00912A8C"/>
    <w:rsid w:val="009203F6"/>
    <w:rsid w:val="00923D70"/>
    <w:rsid w:val="009248E2"/>
    <w:rsid w:val="0093136E"/>
    <w:rsid w:val="009363FC"/>
    <w:rsid w:val="009753A9"/>
    <w:rsid w:val="009C421C"/>
    <w:rsid w:val="009D4A2D"/>
    <w:rsid w:val="00A214B2"/>
    <w:rsid w:val="00A4781F"/>
    <w:rsid w:val="00A61BF3"/>
    <w:rsid w:val="00AC17F8"/>
    <w:rsid w:val="00AD2281"/>
    <w:rsid w:val="00AE780A"/>
    <w:rsid w:val="00B025A4"/>
    <w:rsid w:val="00B12CDD"/>
    <w:rsid w:val="00B2287E"/>
    <w:rsid w:val="00B3397E"/>
    <w:rsid w:val="00B55E38"/>
    <w:rsid w:val="00B7301B"/>
    <w:rsid w:val="00BA2CCE"/>
    <w:rsid w:val="00BC502E"/>
    <w:rsid w:val="00BF544D"/>
    <w:rsid w:val="00C35784"/>
    <w:rsid w:val="00C46ED6"/>
    <w:rsid w:val="00C62AA7"/>
    <w:rsid w:val="00C9659E"/>
    <w:rsid w:val="00CA0B63"/>
    <w:rsid w:val="00CA0EA8"/>
    <w:rsid w:val="00CB167A"/>
    <w:rsid w:val="00CC2056"/>
    <w:rsid w:val="00CF228F"/>
    <w:rsid w:val="00D41CCC"/>
    <w:rsid w:val="00D53C86"/>
    <w:rsid w:val="00DB437B"/>
    <w:rsid w:val="00DC3939"/>
    <w:rsid w:val="00DD127D"/>
    <w:rsid w:val="00DE3E4D"/>
    <w:rsid w:val="00E67975"/>
    <w:rsid w:val="00E70333"/>
    <w:rsid w:val="00EA034D"/>
    <w:rsid w:val="00EA7CD0"/>
    <w:rsid w:val="00EC7D2B"/>
    <w:rsid w:val="00EE02D8"/>
    <w:rsid w:val="00F15C51"/>
    <w:rsid w:val="00F202E4"/>
    <w:rsid w:val="00F422D5"/>
    <w:rsid w:val="00F5588C"/>
    <w:rsid w:val="00F8380C"/>
    <w:rsid w:val="00F9000F"/>
    <w:rsid w:val="00FD14C1"/>
    <w:rsid w:val="00FE2E2A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5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5588C"/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88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558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0F"/>
  </w:style>
  <w:style w:type="paragraph" w:styleId="Footer">
    <w:name w:val="footer"/>
    <w:basedOn w:val="Normal"/>
    <w:link w:val="FooterChar"/>
    <w:uiPriority w:val="99"/>
    <w:semiHidden/>
    <w:unhideWhenUsed/>
    <w:rsid w:val="00F9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HALIDUN</cp:lastModifiedBy>
  <cp:revision>261</cp:revision>
  <cp:lastPrinted>2012-12-20T19:48:00Z</cp:lastPrinted>
  <dcterms:created xsi:type="dcterms:W3CDTF">2012-04-30T11:58:00Z</dcterms:created>
  <dcterms:modified xsi:type="dcterms:W3CDTF">2012-12-20T19:49:00Z</dcterms:modified>
</cp:coreProperties>
</file>